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52" w:type="dxa"/>
        <w:tblInd w:w="-972" w:type="dxa"/>
        <w:tblLayout w:type="fixed"/>
        <w:tblCellMar>
          <w:left w:w="10" w:type="dxa"/>
          <w:right w:w="10" w:type="dxa"/>
        </w:tblCellMar>
        <w:tblLook w:val="0000" w:firstRow="0" w:lastRow="0" w:firstColumn="0" w:lastColumn="0" w:noHBand="0" w:noVBand="0"/>
      </w:tblPr>
      <w:tblGrid>
        <w:gridCol w:w="10152"/>
      </w:tblGrid>
      <w:tr w:rsidR="00C141E6">
        <w:trPr>
          <w:trHeight w:val="13038"/>
        </w:trPr>
        <w:tc>
          <w:tcPr>
            <w:tcW w:w="10152" w:type="dxa"/>
            <w:shd w:val="clear" w:color="auto" w:fill="auto"/>
            <w:tcMar>
              <w:top w:w="0" w:type="dxa"/>
              <w:left w:w="108" w:type="dxa"/>
              <w:bottom w:w="0" w:type="dxa"/>
              <w:right w:w="108" w:type="dxa"/>
            </w:tcMar>
          </w:tcPr>
          <w:p w:rsidR="00C141E6" w:rsidRDefault="00542CDB">
            <w:pPr>
              <w:pStyle w:val="Standard"/>
              <w:spacing w:line="360" w:lineRule="exact"/>
              <w:jc w:val="center"/>
              <w:rPr>
                <w:rFonts w:ascii="Times New Roman" w:hAnsi="Times New Roman"/>
                <w:b/>
                <w:bCs/>
                <w:spacing w:val="-4"/>
                <w:sz w:val="28"/>
              </w:rPr>
            </w:pPr>
            <w:r>
              <w:rPr>
                <w:rFonts w:ascii="Times New Roman" w:hAnsi="Times New Roman"/>
                <w:b/>
                <w:bCs/>
                <w:spacing w:val="-4"/>
                <w:sz w:val="28"/>
              </w:rPr>
              <w:t>統計資料背景說明</w:t>
            </w:r>
          </w:p>
          <w:p w:rsidR="00C141E6" w:rsidRDefault="00542CDB">
            <w:pPr>
              <w:pStyle w:val="Standard"/>
              <w:spacing w:line="360" w:lineRule="exact"/>
              <w:rPr>
                <w:rFonts w:ascii="Times New Roman" w:hAnsi="Times New Roman"/>
                <w:sz w:val="28"/>
              </w:rPr>
            </w:pPr>
            <w:r>
              <w:rPr>
                <w:rFonts w:ascii="Times New Roman" w:hAnsi="Times New Roman"/>
                <w:sz w:val="28"/>
              </w:rPr>
              <w:t>資料種類：食品及藥物管理統計</w:t>
            </w:r>
          </w:p>
          <w:p w:rsidR="00C141E6" w:rsidRDefault="00542CDB">
            <w:pPr>
              <w:pStyle w:val="Standard"/>
              <w:spacing w:line="360" w:lineRule="exact"/>
              <w:rPr>
                <w:rFonts w:ascii="Times New Roman" w:hAnsi="Times New Roman"/>
                <w:sz w:val="28"/>
              </w:rPr>
            </w:pPr>
            <w:r>
              <w:rPr>
                <w:rFonts w:ascii="Times New Roman" w:hAnsi="Times New Roman"/>
                <w:sz w:val="28"/>
              </w:rPr>
              <w:t>資料項目：桃園市食品衛生管理工作</w:t>
            </w:r>
          </w:p>
          <w:p w:rsidR="00C141E6" w:rsidRDefault="00542CDB">
            <w:pPr>
              <w:pStyle w:val="Standard"/>
              <w:spacing w:before="180" w:line="360" w:lineRule="exact"/>
              <w:jc w:val="both"/>
              <w:rPr>
                <w:rFonts w:ascii="Times New Roman" w:hAnsi="Times New Roman"/>
                <w:sz w:val="28"/>
              </w:rPr>
            </w:pPr>
            <w:r>
              <w:rPr>
                <w:rFonts w:ascii="Times New Roman" w:hAnsi="Times New Roman"/>
                <w:sz w:val="28"/>
              </w:rPr>
              <w:t>一、發布及編製機關單位</w:t>
            </w:r>
          </w:p>
          <w:p w:rsidR="00C141E6" w:rsidRDefault="00542CDB">
            <w:pPr>
              <w:pStyle w:val="Standard"/>
              <w:spacing w:line="360" w:lineRule="exact"/>
              <w:ind w:left="240"/>
              <w:jc w:val="both"/>
            </w:pPr>
            <w:proofErr w:type="gramStart"/>
            <w:r>
              <w:rPr>
                <w:rFonts w:ascii="Times New Roman" w:hAnsi="Times New Roman"/>
                <w:spacing w:val="-4"/>
                <w:sz w:val="28"/>
              </w:rPr>
              <w:t>＊</w:t>
            </w:r>
            <w:proofErr w:type="gramEnd"/>
            <w:r>
              <w:rPr>
                <w:rFonts w:ascii="Times New Roman" w:hAnsi="Times New Roman"/>
                <w:spacing w:val="-4"/>
                <w:sz w:val="28"/>
              </w:rPr>
              <w:t>發布機關、單位：</w:t>
            </w:r>
            <w:r>
              <w:rPr>
                <w:rFonts w:ascii="Times New Roman" w:hAnsi="Times New Roman"/>
                <w:spacing w:val="-4"/>
                <w:sz w:val="28"/>
              </w:rPr>
              <w:t xml:space="preserve"> </w:t>
            </w:r>
            <w:r>
              <w:rPr>
                <w:rFonts w:ascii="Times New Roman" w:hAnsi="Times New Roman"/>
                <w:sz w:val="28"/>
              </w:rPr>
              <w:t>桃園市政府衛生局會計室</w:t>
            </w:r>
          </w:p>
          <w:p w:rsidR="00C141E6" w:rsidRDefault="00542CDB">
            <w:pPr>
              <w:pStyle w:val="Standard"/>
              <w:spacing w:line="360" w:lineRule="exact"/>
              <w:ind w:left="240"/>
              <w:jc w:val="both"/>
            </w:pPr>
            <w:proofErr w:type="gramStart"/>
            <w:r>
              <w:rPr>
                <w:rFonts w:ascii="Times New Roman" w:hAnsi="Times New Roman"/>
                <w:sz w:val="28"/>
              </w:rPr>
              <w:t>＊</w:t>
            </w:r>
            <w:proofErr w:type="gramEnd"/>
            <w:r>
              <w:rPr>
                <w:rFonts w:ascii="Times New Roman" w:hAnsi="Times New Roman"/>
                <w:sz w:val="28"/>
              </w:rPr>
              <w:t>編製單位：</w:t>
            </w:r>
            <w:r>
              <w:rPr>
                <w:rFonts w:ascii="Times New Roman" w:hAnsi="Times New Roman"/>
                <w:spacing w:val="-4"/>
                <w:sz w:val="28"/>
              </w:rPr>
              <w:t>桃園市政府衛生局食品管理暨檢驗科</w:t>
            </w:r>
          </w:p>
          <w:p w:rsidR="00C141E6" w:rsidRDefault="00542CDB">
            <w:pPr>
              <w:pStyle w:val="Standard"/>
              <w:spacing w:line="360" w:lineRule="exact"/>
              <w:ind w:left="240"/>
              <w:jc w:val="both"/>
              <w:rPr>
                <w:rFonts w:ascii="Times New Roman" w:hAnsi="Times New Roman"/>
                <w:sz w:val="28"/>
              </w:rPr>
            </w:pPr>
            <w:proofErr w:type="gramStart"/>
            <w:r>
              <w:rPr>
                <w:rFonts w:ascii="Times New Roman" w:hAnsi="Times New Roman"/>
                <w:sz w:val="28"/>
              </w:rPr>
              <w:t>＊</w:t>
            </w:r>
            <w:proofErr w:type="gramEnd"/>
            <w:r>
              <w:rPr>
                <w:rFonts w:ascii="Times New Roman" w:hAnsi="Times New Roman"/>
                <w:sz w:val="28"/>
              </w:rPr>
              <w:t>聯絡電話：</w:t>
            </w:r>
            <w:r>
              <w:rPr>
                <w:rFonts w:ascii="Times New Roman" w:hAnsi="Times New Roman"/>
                <w:sz w:val="28"/>
              </w:rPr>
              <w:t>(03)334-0935</w:t>
            </w:r>
            <w:r>
              <w:rPr>
                <w:rFonts w:ascii="Times New Roman" w:hAnsi="Times New Roman"/>
                <w:sz w:val="28"/>
              </w:rPr>
              <w:t>分機</w:t>
            </w:r>
            <w:r>
              <w:rPr>
                <w:rFonts w:ascii="Times New Roman" w:hAnsi="Times New Roman"/>
                <w:sz w:val="28"/>
              </w:rPr>
              <w:t>2903</w:t>
            </w:r>
          </w:p>
          <w:p w:rsidR="00C141E6" w:rsidRDefault="00542CDB">
            <w:pPr>
              <w:pStyle w:val="Standard"/>
              <w:spacing w:line="360" w:lineRule="exact"/>
              <w:ind w:left="240"/>
              <w:jc w:val="both"/>
              <w:rPr>
                <w:rFonts w:ascii="Times New Roman" w:hAnsi="Times New Roman"/>
                <w:sz w:val="28"/>
              </w:rPr>
            </w:pPr>
            <w:proofErr w:type="gramStart"/>
            <w:r>
              <w:rPr>
                <w:rFonts w:ascii="Times New Roman" w:hAnsi="Times New Roman"/>
                <w:sz w:val="28"/>
              </w:rPr>
              <w:t>＊</w:t>
            </w:r>
            <w:proofErr w:type="gramEnd"/>
            <w:r>
              <w:rPr>
                <w:rFonts w:ascii="Times New Roman" w:hAnsi="Times New Roman"/>
                <w:sz w:val="28"/>
              </w:rPr>
              <w:t>傳真：</w:t>
            </w:r>
            <w:r>
              <w:rPr>
                <w:rFonts w:ascii="Times New Roman" w:hAnsi="Times New Roman"/>
                <w:sz w:val="28"/>
              </w:rPr>
              <w:t>(03)336-4254</w:t>
            </w:r>
          </w:p>
          <w:p w:rsidR="00C141E6" w:rsidRDefault="00542CDB">
            <w:pPr>
              <w:pStyle w:val="Standard"/>
              <w:spacing w:line="360" w:lineRule="exact"/>
              <w:ind w:left="240"/>
              <w:jc w:val="both"/>
              <w:rPr>
                <w:rFonts w:ascii="Times New Roman" w:hAnsi="Times New Roman"/>
                <w:sz w:val="28"/>
              </w:rPr>
            </w:pPr>
            <w:proofErr w:type="gramStart"/>
            <w:r>
              <w:rPr>
                <w:rFonts w:ascii="Times New Roman" w:hAnsi="Times New Roman"/>
                <w:sz w:val="28"/>
              </w:rPr>
              <w:t>＊</w:t>
            </w:r>
            <w:proofErr w:type="gramEnd"/>
            <w:r>
              <w:rPr>
                <w:rFonts w:ascii="Times New Roman" w:hAnsi="Times New Roman"/>
                <w:sz w:val="28"/>
              </w:rPr>
              <w:t>電子信箱：</w:t>
            </w:r>
            <w:r>
              <w:rPr>
                <w:rFonts w:ascii="Times New Roman" w:hAnsi="Times New Roman"/>
                <w:sz w:val="28"/>
              </w:rPr>
              <w:t>10062619@mail.tycg.gov.tw</w:t>
            </w:r>
          </w:p>
          <w:p w:rsidR="00C141E6" w:rsidRDefault="00542CDB">
            <w:pPr>
              <w:pStyle w:val="Standard"/>
              <w:spacing w:before="180" w:line="360" w:lineRule="exact"/>
              <w:jc w:val="both"/>
              <w:rPr>
                <w:rFonts w:ascii="Times New Roman" w:hAnsi="Times New Roman"/>
                <w:sz w:val="28"/>
              </w:rPr>
            </w:pPr>
            <w:r>
              <w:rPr>
                <w:rFonts w:ascii="Times New Roman" w:hAnsi="Times New Roman"/>
                <w:sz w:val="28"/>
              </w:rPr>
              <w:t>二、發布形式</w:t>
            </w:r>
          </w:p>
          <w:p w:rsidR="00C141E6" w:rsidRDefault="00542CDB">
            <w:pPr>
              <w:pStyle w:val="Standard"/>
              <w:spacing w:line="360" w:lineRule="exact"/>
              <w:ind w:left="240"/>
              <w:jc w:val="both"/>
            </w:pPr>
            <w:proofErr w:type="gramStart"/>
            <w:r>
              <w:rPr>
                <w:rFonts w:ascii="Times New Roman" w:hAnsi="Times New Roman"/>
                <w:spacing w:val="-4"/>
                <w:sz w:val="28"/>
              </w:rPr>
              <w:t>＊</w:t>
            </w:r>
            <w:proofErr w:type="gramEnd"/>
            <w:r>
              <w:rPr>
                <w:rFonts w:ascii="Times New Roman" w:hAnsi="Times New Roman"/>
                <w:sz w:val="28"/>
              </w:rPr>
              <w:t>口頭：</w:t>
            </w:r>
          </w:p>
          <w:p w:rsidR="00C141E6" w:rsidRDefault="00542CDB">
            <w:pPr>
              <w:pStyle w:val="Standard"/>
              <w:spacing w:line="360" w:lineRule="exact"/>
              <w:ind w:firstLine="504"/>
              <w:jc w:val="both"/>
            </w:pPr>
            <w:r>
              <w:rPr>
                <w:rFonts w:ascii="Times New Roman" w:hAnsi="Times New Roman"/>
                <w:sz w:val="28"/>
              </w:rPr>
              <w:t>（</w:t>
            </w:r>
            <w:r>
              <w:rPr>
                <w:rFonts w:ascii="Times New Roman" w:eastAsia="Times New Roman" w:hAnsi="Times New Roman"/>
                <w:sz w:val="28"/>
              </w:rPr>
              <w:t xml:space="preserve"> </w:t>
            </w:r>
            <w:r>
              <w:rPr>
                <w:rFonts w:ascii="Times New Roman" w:hAnsi="Times New Roman"/>
                <w:sz w:val="28"/>
              </w:rPr>
              <w:t>）記者會或說明會</w:t>
            </w:r>
          </w:p>
          <w:p w:rsidR="00C141E6" w:rsidRDefault="00542CDB">
            <w:pPr>
              <w:pStyle w:val="Standard"/>
              <w:spacing w:line="360" w:lineRule="exact"/>
              <w:ind w:left="240"/>
              <w:jc w:val="both"/>
            </w:pPr>
            <w:proofErr w:type="gramStart"/>
            <w:r>
              <w:rPr>
                <w:rFonts w:ascii="Times New Roman" w:hAnsi="Times New Roman"/>
                <w:spacing w:val="-4"/>
                <w:sz w:val="28"/>
              </w:rPr>
              <w:t>＊</w:t>
            </w:r>
            <w:proofErr w:type="gramEnd"/>
            <w:r>
              <w:rPr>
                <w:rFonts w:ascii="Times New Roman" w:hAnsi="Times New Roman"/>
                <w:sz w:val="28"/>
              </w:rPr>
              <w:t>書面：</w:t>
            </w:r>
          </w:p>
          <w:p w:rsidR="00C141E6" w:rsidRDefault="00542CDB">
            <w:pPr>
              <w:pStyle w:val="Standard"/>
              <w:spacing w:line="360" w:lineRule="exact"/>
              <w:ind w:left="294" w:firstLine="204"/>
              <w:jc w:val="both"/>
            </w:pPr>
            <w:r>
              <w:rPr>
                <w:rFonts w:ascii="Times New Roman" w:hAnsi="Times New Roman"/>
                <w:sz w:val="28"/>
              </w:rPr>
              <w:t>（</w:t>
            </w:r>
            <w:r>
              <w:rPr>
                <w:rFonts w:ascii="Times New Roman" w:eastAsia="Times New Roman" w:hAnsi="Times New Roman"/>
                <w:sz w:val="28"/>
              </w:rPr>
              <w:t xml:space="preserve"> </w:t>
            </w:r>
            <w:r>
              <w:rPr>
                <w:rFonts w:ascii="Times New Roman" w:hAnsi="Times New Roman"/>
                <w:sz w:val="28"/>
              </w:rPr>
              <w:t>）新聞稿</w:t>
            </w:r>
            <w:r>
              <w:rPr>
                <w:rFonts w:ascii="Times New Roman" w:eastAsia="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eastAsia="Symbol" w:hAnsi="Times New Roman"/>
                <w:sz w:val="28"/>
              </w:rPr>
              <w:t>）</w:t>
            </w:r>
            <w:r>
              <w:rPr>
                <w:rFonts w:ascii="Times New Roman" w:hAnsi="Times New Roman"/>
                <w:sz w:val="28"/>
              </w:rPr>
              <w:t>報表</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）書刊，刊名：</w:t>
            </w:r>
          </w:p>
          <w:p w:rsidR="00C141E6" w:rsidRDefault="00542CDB">
            <w:pPr>
              <w:pStyle w:val="Standard"/>
              <w:spacing w:line="360" w:lineRule="exact"/>
              <w:ind w:left="240"/>
              <w:jc w:val="both"/>
              <w:rPr>
                <w:sz w:val="28"/>
              </w:rPr>
            </w:pPr>
            <w:proofErr w:type="gramStart"/>
            <w:r>
              <w:rPr>
                <w:sz w:val="28"/>
              </w:rPr>
              <w:t>＊</w:t>
            </w:r>
            <w:proofErr w:type="gramEnd"/>
            <w:r>
              <w:rPr>
                <w:sz w:val="28"/>
              </w:rPr>
              <w:t>電子媒體：</w:t>
            </w:r>
          </w:p>
          <w:p w:rsidR="00C141E6" w:rsidRDefault="00542CDB">
            <w:pPr>
              <w:pStyle w:val="Standard"/>
              <w:spacing w:line="360" w:lineRule="exact"/>
              <w:ind w:left="1880" w:hanging="1400"/>
            </w:pPr>
            <w:r>
              <w:rPr>
                <w:sz w:val="28"/>
              </w:rPr>
              <w:t>（</w:t>
            </w:r>
            <w:r>
              <w:rPr>
                <w:b/>
                <w:sz w:val="28"/>
              </w:rPr>
              <w:t xml:space="preserve"> </w:t>
            </w:r>
            <w:r>
              <w:rPr>
                <w:sz w:val="28"/>
              </w:rPr>
              <w:t>）</w:t>
            </w:r>
            <w:proofErr w:type="gramStart"/>
            <w:r>
              <w:rPr>
                <w:sz w:val="28"/>
              </w:rPr>
              <w:t>線上書刊</w:t>
            </w:r>
            <w:proofErr w:type="gramEnd"/>
            <w:r>
              <w:rPr>
                <w:sz w:val="28"/>
              </w:rPr>
              <w:t>及資料庫，</w:t>
            </w:r>
          </w:p>
          <w:p w:rsidR="00C141E6" w:rsidRDefault="00542CDB">
            <w:pPr>
              <w:pStyle w:val="Standard"/>
              <w:spacing w:line="360" w:lineRule="exact"/>
              <w:ind w:left="1877" w:hanging="636"/>
              <w:rPr>
                <w:sz w:val="28"/>
              </w:rPr>
            </w:pPr>
            <w:r>
              <w:rPr>
                <w:sz w:val="28"/>
              </w:rPr>
              <w:t>網址：</w:t>
            </w:r>
          </w:p>
          <w:p w:rsidR="00C141E6" w:rsidRDefault="00542CDB">
            <w:pPr>
              <w:pStyle w:val="Standard"/>
              <w:spacing w:line="360" w:lineRule="exact"/>
              <w:ind w:right="-328" w:firstLine="560"/>
              <w:jc w:val="both"/>
            </w:pPr>
            <w:r>
              <w:rPr>
                <w:sz w:val="28"/>
              </w:rPr>
              <w:t>（ ）磁片   （ ）光碟片   （</w:t>
            </w:r>
            <w:r>
              <w:rPr>
                <w:rFonts w:ascii="Wingdings" w:hAnsi="Wingdings"/>
              </w:rPr>
              <w:t></w:t>
            </w:r>
            <w:r>
              <w:rPr>
                <w:sz w:val="28"/>
              </w:rPr>
              <w:t>）其他</w:t>
            </w:r>
          </w:p>
          <w:p w:rsidR="00C141E6" w:rsidRDefault="00542CDB">
            <w:pPr>
              <w:ind w:firstLine="475"/>
              <w:rPr>
                <w:rFonts w:hint="eastAsia"/>
              </w:rPr>
            </w:pPr>
            <w:r>
              <w:t>Open Document File (</w:t>
            </w:r>
            <w:proofErr w:type="spellStart"/>
            <w:r>
              <w:t>odf</w:t>
            </w:r>
            <w:proofErr w:type="spellEnd"/>
            <w:r>
              <w:t>)</w:t>
            </w:r>
            <w:r>
              <w:rPr>
                <w:rFonts w:ascii="標楷體" w:eastAsia="標楷體" w:hAnsi="標楷體"/>
              </w:rPr>
              <w:t>、</w:t>
            </w:r>
            <w:r>
              <w:t xml:space="preserve">Portable Document Format (pdf) </w:t>
            </w:r>
            <w:r>
              <w:rPr>
                <w:rFonts w:ascii="標楷體" w:eastAsia="標楷體" w:hAnsi="標楷體"/>
              </w:rPr>
              <w:t>或</w:t>
            </w:r>
            <w:r>
              <w:t>Excel</w:t>
            </w:r>
            <w:r>
              <w:rPr>
                <w:rFonts w:ascii="標楷體" w:eastAsia="標楷體" w:hAnsi="標楷體"/>
              </w:rPr>
              <w:t>檔案。</w:t>
            </w:r>
          </w:p>
          <w:p w:rsidR="00C141E6" w:rsidRDefault="00542CDB">
            <w:pPr>
              <w:pStyle w:val="Standard"/>
              <w:spacing w:before="180" w:line="360" w:lineRule="exact"/>
              <w:jc w:val="both"/>
              <w:rPr>
                <w:sz w:val="28"/>
              </w:rPr>
            </w:pPr>
            <w:r>
              <w:rPr>
                <w:sz w:val="28"/>
              </w:rPr>
              <w:t>三、資料範圍、週期及時效</w:t>
            </w:r>
          </w:p>
          <w:p w:rsidR="00C141E6" w:rsidRDefault="00542CDB">
            <w:pPr>
              <w:pStyle w:val="Standard"/>
              <w:spacing w:line="360" w:lineRule="exact"/>
              <w:ind w:left="512" w:hanging="272"/>
              <w:jc w:val="both"/>
              <w:rPr>
                <w:spacing w:val="-4"/>
                <w:sz w:val="28"/>
              </w:rPr>
            </w:pPr>
            <w:proofErr w:type="gramStart"/>
            <w:r>
              <w:rPr>
                <w:spacing w:val="-4"/>
                <w:sz w:val="28"/>
              </w:rPr>
              <w:t>＊</w:t>
            </w:r>
            <w:proofErr w:type="gramEnd"/>
            <w:r>
              <w:rPr>
                <w:spacing w:val="-4"/>
                <w:sz w:val="28"/>
              </w:rPr>
              <w:t>統計地區範圍及對象：凡桃園市政府衛生局辦理食品衛生查驗、稽查處罰、督導改善之件數、家</w:t>
            </w:r>
            <w:proofErr w:type="gramStart"/>
            <w:r>
              <w:rPr>
                <w:spacing w:val="-4"/>
                <w:sz w:val="28"/>
              </w:rPr>
              <w:t>數均為統計</w:t>
            </w:r>
            <w:proofErr w:type="gramEnd"/>
            <w:r>
              <w:rPr>
                <w:spacing w:val="-4"/>
                <w:sz w:val="28"/>
              </w:rPr>
              <w:t>對象。</w:t>
            </w:r>
          </w:p>
          <w:p w:rsidR="00C141E6" w:rsidRDefault="00542CDB">
            <w:pPr>
              <w:pStyle w:val="Standard"/>
              <w:spacing w:line="360" w:lineRule="exact"/>
              <w:ind w:left="240"/>
              <w:jc w:val="both"/>
              <w:rPr>
                <w:spacing w:val="-4"/>
                <w:sz w:val="28"/>
              </w:rPr>
            </w:pPr>
            <w:proofErr w:type="gramStart"/>
            <w:r>
              <w:rPr>
                <w:spacing w:val="-4"/>
                <w:sz w:val="28"/>
              </w:rPr>
              <w:t>＊</w:t>
            </w:r>
            <w:proofErr w:type="gramEnd"/>
            <w:r>
              <w:rPr>
                <w:spacing w:val="-4"/>
                <w:sz w:val="28"/>
              </w:rPr>
              <w:t>統計標準時間：以每年1月1日至12月31日為止。</w:t>
            </w:r>
          </w:p>
          <w:p w:rsidR="00C141E6" w:rsidRDefault="00542CDB">
            <w:pPr>
              <w:pStyle w:val="Standard"/>
              <w:spacing w:line="360" w:lineRule="exact"/>
              <w:ind w:left="240"/>
              <w:jc w:val="both"/>
              <w:rPr>
                <w:spacing w:val="-4"/>
                <w:sz w:val="28"/>
              </w:rPr>
            </w:pPr>
            <w:proofErr w:type="gramStart"/>
            <w:r>
              <w:rPr>
                <w:spacing w:val="-4"/>
                <w:sz w:val="28"/>
              </w:rPr>
              <w:t>＊</w:t>
            </w:r>
            <w:proofErr w:type="gramEnd"/>
            <w:r>
              <w:rPr>
                <w:spacing w:val="-4"/>
                <w:sz w:val="28"/>
              </w:rPr>
              <w:t>統計項目定義：</w:t>
            </w:r>
          </w:p>
          <w:p w:rsidR="00C141E6" w:rsidRDefault="00542CDB">
            <w:pPr>
              <w:pStyle w:val="Standard"/>
              <w:spacing w:line="360" w:lineRule="exact"/>
              <w:ind w:left="240"/>
              <w:jc w:val="both"/>
              <w:rPr>
                <w:spacing w:val="-4"/>
                <w:sz w:val="28"/>
              </w:rPr>
            </w:pPr>
            <w:r>
              <w:rPr>
                <w:spacing w:val="-4"/>
                <w:sz w:val="28"/>
              </w:rPr>
              <w:t>（一）查驗部分：</w:t>
            </w:r>
          </w:p>
          <w:p w:rsidR="00C141E6" w:rsidRDefault="00542CDB">
            <w:pPr>
              <w:pStyle w:val="Standard"/>
              <w:spacing w:line="360" w:lineRule="exact"/>
              <w:ind w:left="2640" w:hanging="1632"/>
              <w:jc w:val="both"/>
            </w:pPr>
            <w:r>
              <w:rPr>
                <w:sz w:val="28"/>
              </w:rPr>
              <w:t>1.查驗件數：係指食品抽樣查核件數、檢驗件數及辦理中(移外縣市未結案)之合計。即若1件食品同時有檢驗及查核，則以2件計算。</w:t>
            </w:r>
          </w:p>
          <w:p w:rsidR="00C141E6" w:rsidRDefault="00542CDB">
            <w:pPr>
              <w:pStyle w:val="Standard"/>
              <w:spacing w:line="360" w:lineRule="exact"/>
              <w:ind w:left="2640" w:hanging="1632"/>
              <w:jc w:val="both"/>
              <w:rPr>
                <w:sz w:val="28"/>
              </w:rPr>
            </w:pPr>
            <w:r>
              <w:rPr>
                <w:sz w:val="28"/>
              </w:rPr>
              <w:t>2.查核件數：以感官等簡易方法查核食品之性狀、標示…等之件數。</w:t>
            </w:r>
          </w:p>
          <w:p w:rsidR="00C141E6" w:rsidRDefault="00542CDB">
            <w:pPr>
              <w:pStyle w:val="Standard"/>
              <w:spacing w:line="360" w:lineRule="exact"/>
              <w:ind w:left="2640" w:hanging="1632"/>
              <w:jc w:val="both"/>
              <w:rPr>
                <w:sz w:val="28"/>
              </w:rPr>
            </w:pPr>
            <w:r>
              <w:rPr>
                <w:sz w:val="28"/>
              </w:rPr>
              <w:t>3.查核不符規定件數：係指違規標示件數。</w:t>
            </w:r>
          </w:p>
          <w:p w:rsidR="00C141E6" w:rsidRDefault="00542CDB">
            <w:pPr>
              <w:pStyle w:val="Standard"/>
              <w:spacing w:line="360" w:lineRule="exact"/>
              <w:ind w:left="2640" w:hanging="1632"/>
              <w:jc w:val="both"/>
              <w:rPr>
                <w:sz w:val="28"/>
              </w:rPr>
            </w:pPr>
            <w:r>
              <w:rPr>
                <w:sz w:val="28"/>
              </w:rPr>
              <w:t>4.檢驗件數：</w:t>
            </w:r>
            <w:proofErr w:type="gramStart"/>
            <w:r>
              <w:rPr>
                <w:sz w:val="28"/>
              </w:rPr>
              <w:t>係指送檢驗</w:t>
            </w:r>
            <w:proofErr w:type="gramEnd"/>
            <w:r>
              <w:rPr>
                <w:sz w:val="28"/>
              </w:rPr>
              <w:t>件數，包括自行檢驗及送檢驗單位檢驗之件數。</w:t>
            </w:r>
          </w:p>
          <w:p w:rsidR="00C141E6" w:rsidRDefault="00542CDB">
            <w:pPr>
              <w:pStyle w:val="Standard"/>
              <w:spacing w:line="360" w:lineRule="exact"/>
              <w:ind w:left="3690" w:hanging="2682"/>
              <w:jc w:val="both"/>
              <w:rPr>
                <w:sz w:val="28"/>
              </w:rPr>
            </w:pPr>
            <w:r>
              <w:rPr>
                <w:sz w:val="28"/>
              </w:rPr>
              <w:t>5.檢驗不符規定件數：係指經食品添加物、食品器具、容器、包裝檢驗、…、澱粉、脂肪、ABS、其他等項檢驗不符規定之件數。</w:t>
            </w:r>
          </w:p>
          <w:p w:rsidR="00C141E6" w:rsidRDefault="00542CDB">
            <w:pPr>
              <w:pStyle w:val="Standard"/>
              <w:spacing w:line="360" w:lineRule="exact"/>
              <w:ind w:left="3200" w:hanging="2240"/>
              <w:jc w:val="both"/>
              <w:rPr>
                <w:sz w:val="28"/>
              </w:rPr>
            </w:pPr>
            <w:r>
              <w:rPr>
                <w:sz w:val="28"/>
              </w:rPr>
              <w:t>6.不符規定件數：係指查核不符規定件數及檢驗不符規定件數之合計。即若1件食品同時有檢驗及查核，則以2件計算。</w:t>
            </w:r>
          </w:p>
          <w:p w:rsidR="00C141E6" w:rsidRDefault="00542CDB">
            <w:pPr>
              <w:pStyle w:val="Standard"/>
              <w:spacing w:line="360" w:lineRule="exact"/>
              <w:ind w:firstLine="980"/>
              <w:jc w:val="both"/>
              <w:rPr>
                <w:sz w:val="28"/>
              </w:rPr>
            </w:pPr>
            <w:r>
              <w:rPr>
                <w:sz w:val="28"/>
              </w:rPr>
              <w:t>7.不符規定比率：不符規定件數占查驗件數之比率。</w:t>
            </w:r>
          </w:p>
          <w:p w:rsidR="00C141E6" w:rsidRDefault="00542CDB">
            <w:pPr>
              <w:pStyle w:val="Standard"/>
              <w:spacing w:line="360" w:lineRule="exact"/>
              <w:ind w:left="4028" w:hanging="3063"/>
              <w:jc w:val="both"/>
              <w:rPr>
                <w:sz w:val="28"/>
              </w:rPr>
            </w:pPr>
            <w:r>
              <w:rPr>
                <w:sz w:val="28"/>
              </w:rPr>
              <w:t>8.查核不符規定之原因：係以違規標示件數中違反食安法、健康食品管理法或其他法律規定予以分析並分別列計。</w:t>
            </w:r>
          </w:p>
          <w:p w:rsidR="00C141E6" w:rsidRDefault="00542CDB">
            <w:pPr>
              <w:pStyle w:val="Standard"/>
              <w:spacing w:line="360" w:lineRule="exact"/>
              <w:ind w:left="4082" w:hanging="3105"/>
              <w:jc w:val="both"/>
              <w:rPr>
                <w:sz w:val="28"/>
              </w:rPr>
            </w:pPr>
            <w:r>
              <w:rPr>
                <w:sz w:val="28"/>
              </w:rPr>
              <w:lastRenderedPageBreak/>
              <w:t>9.檢驗不符規定之原因：係以檢驗不符規定件數中不符規定項目原因予以分析並分別列計。</w:t>
            </w:r>
            <w:r>
              <w:rPr>
                <w:sz w:val="28"/>
              </w:rPr>
              <w:tab/>
            </w:r>
          </w:p>
          <w:p w:rsidR="00C141E6" w:rsidRDefault="00542CDB">
            <w:pPr>
              <w:pStyle w:val="Standard"/>
              <w:spacing w:line="360" w:lineRule="exact"/>
              <w:ind w:left="3184" w:hanging="2178"/>
              <w:jc w:val="both"/>
              <w:rPr>
                <w:sz w:val="28"/>
              </w:rPr>
            </w:pPr>
            <w:r>
              <w:rPr>
                <w:sz w:val="28"/>
              </w:rPr>
              <w:t>10.特殊營養食品：指嬰兒與較大嬰兒配方食品、特定疾病配方食品及其他經中央主管機關許可得供特殊營養需求者使用之配方食品。</w:t>
            </w:r>
          </w:p>
          <w:p w:rsidR="00C141E6" w:rsidRDefault="00542CDB">
            <w:pPr>
              <w:pStyle w:val="Standard"/>
              <w:spacing w:line="360" w:lineRule="exact"/>
              <w:ind w:left="2990" w:hanging="2030"/>
              <w:jc w:val="both"/>
              <w:rPr>
                <w:sz w:val="28"/>
              </w:rPr>
            </w:pPr>
            <w:r>
              <w:rPr>
                <w:sz w:val="28"/>
              </w:rPr>
              <w:t>11.食品添加物：指為食品著色、調味、防腐、漂白、乳化、增加香味、安定品質、促進發酵、增加稠度、強化營養、防止氧化或其他必要目的，加入、接觸於食品之單方或複方物質。複方食品添加物使用之添加物僅限由中央主管機關准用之食品添加物組成，前述准用之單方食品添加物皆應有中央主管機關之准用許可字號。</w:t>
            </w:r>
          </w:p>
          <w:p w:rsidR="00C141E6" w:rsidRDefault="00542CDB">
            <w:pPr>
              <w:pStyle w:val="Standard"/>
              <w:spacing w:line="360" w:lineRule="exact"/>
              <w:ind w:left="3970" w:hanging="3010"/>
              <w:jc w:val="both"/>
            </w:pPr>
            <w:r>
              <w:rPr>
                <w:sz w:val="28"/>
              </w:rPr>
              <w:t>12.</w:t>
            </w:r>
            <w:r>
              <w:t xml:space="preserve"> </w:t>
            </w:r>
            <w:r>
              <w:rPr>
                <w:sz w:val="28"/>
              </w:rPr>
              <w:t>十七類食品添加物：指依據食品添加物使用範圍及限量暨規格標準中 17個類別，分別為「防腐劑」、「殺菌劑」、「抗氧化劑」、「漂白劑」、「</w:t>
            </w:r>
            <w:proofErr w:type="gramStart"/>
            <w:r>
              <w:rPr>
                <w:sz w:val="28"/>
              </w:rPr>
              <w:t>保色劑</w:t>
            </w:r>
            <w:proofErr w:type="gramEnd"/>
            <w:r>
              <w:rPr>
                <w:sz w:val="28"/>
              </w:rPr>
              <w:t>」、「膨脹劑」、「品質改良用、釀造用及食品</w:t>
            </w:r>
            <w:proofErr w:type="gramStart"/>
            <w:r>
              <w:rPr>
                <w:sz w:val="28"/>
              </w:rPr>
              <w:t>製造用</w:t>
            </w:r>
            <w:proofErr w:type="gramEnd"/>
            <w:r>
              <w:rPr>
                <w:sz w:val="28"/>
              </w:rPr>
              <w:t>劑」、「營養添加劑」、「著色劑」、「香料」、「甜味劑及調味劑」、「粘稠劑（糊料）」、「</w:t>
            </w:r>
            <w:proofErr w:type="gramStart"/>
            <w:r>
              <w:rPr>
                <w:sz w:val="28"/>
              </w:rPr>
              <w:t>結著</w:t>
            </w:r>
            <w:proofErr w:type="gramEnd"/>
            <w:r>
              <w:rPr>
                <w:sz w:val="28"/>
              </w:rPr>
              <w:t>劑」、「食品工業用化學藥品」、「載體」、「乳化劑」、「其他」，非屬以上</w:t>
            </w:r>
            <w:proofErr w:type="gramStart"/>
            <w:r>
              <w:rPr>
                <w:sz w:val="28"/>
              </w:rPr>
              <w:t>17類均為其</w:t>
            </w:r>
            <w:proofErr w:type="gramEnd"/>
            <w:r>
              <w:rPr>
                <w:sz w:val="28"/>
              </w:rPr>
              <w:t>他食品添加物。</w:t>
            </w:r>
          </w:p>
          <w:p w:rsidR="00C141E6" w:rsidRDefault="00542CDB">
            <w:pPr>
              <w:pStyle w:val="Standard"/>
              <w:spacing w:line="360" w:lineRule="exact"/>
              <w:ind w:firstLine="1005"/>
              <w:jc w:val="both"/>
              <w:rPr>
                <w:sz w:val="28"/>
              </w:rPr>
            </w:pPr>
            <w:r>
              <w:rPr>
                <w:sz w:val="28"/>
              </w:rPr>
              <w:t>13.食品器具：指與食品或食品添加物直接接觸之器械、工具或器皿。</w:t>
            </w:r>
          </w:p>
          <w:p w:rsidR="00C141E6" w:rsidRDefault="00542CDB">
            <w:pPr>
              <w:pStyle w:val="Standard"/>
              <w:spacing w:line="360" w:lineRule="exact"/>
              <w:ind w:firstLine="1005"/>
              <w:jc w:val="both"/>
              <w:rPr>
                <w:sz w:val="28"/>
              </w:rPr>
            </w:pPr>
            <w:r>
              <w:rPr>
                <w:sz w:val="28"/>
              </w:rPr>
              <w:t>14.食品容器或包裝：指與食品或食品添加物直接接觸之容器或包裹物。</w:t>
            </w:r>
          </w:p>
          <w:p w:rsidR="00C141E6" w:rsidRDefault="00542CDB">
            <w:pPr>
              <w:pStyle w:val="Standard"/>
              <w:spacing w:line="360" w:lineRule="exact"/>
              <w:ind w:left="3282" w:hanging="2279"/>
              <w:jc w:val="both"/>
              <w:rPr>
                <w:sz w:val="28"/>
              </w:rPr>
            </w:pPr>
            <w:r>
              <w:rPr>
                <w:sz w:val="28"/>
              </w:rPr>
              <w:t>15.食品</w:t>
            </w:r>
            <w:proofErr w:type="gramStart"/>
            <w:r>
              <w:rPr>
                <w:sz w:val="28"/>
              </w:rPr>
              <w:t>用洗潔劑</w:t>
            </w:r>
            <w:proofErr w:type="gramEnd"/>
            <w:r>
              <w:rPr>
                <w:sz w:val="28"/>
              </w:rPr>
              <w:t>：指用於消毒或洗滌食品、食品器具、食品容器或包裝之物質。</w:t>
            </w:r>
          </w:p>
          <w:p w:rsidR="00C141E6" w:rsidRDefault="00542CDB">
            <w:pPr>
              <w:pStyle w:val="Standard"/>
              <w:spacing w:line="360" w:lineRule="exact"/>
              <w:ind w:left="2165" w:hanging="1159"/>
              <w:jc w:val="both"/>
              <w:rPr>
                <w:sz w:val="28"/>
              </w:rPr>
            </w:pPr>
            <w:r>
              <w:rPr>
                <w:sz w:val="28"/>
              </w:rPr>
              <w:t>16.標示：指於食品、食品添加物、食品</w:t>
            </w:r>
            <w:proofErr w:type="gramStart"/>
            <w:r>
              <w:rPr>
                <w:sz w:val="28"/>
              </w:rPr>
              <w:t>用洗潔劑</w:t>
            </w:r>
            <w:proofErr w:type="gramEnd"/>
            <w:r>
              <w:rPr>
                <w:sz w:val="28"/>
              </w:rPr>
              <w:t>、食品器具、食品容器或包裝上，記載品名或為說明之文字、圖畫、記號或附加之說明書。</w:t>
            </w:r>
          </w:p>
          <w:p w:rsidR="00C141E6" w:rsidRDefault="00542CDB">
            <w:pPr>
              <w:pStyle w:val="Standard"/>
              <w:spacing w:line="360" w:lineRule="exact"/>
              <w:ind w:left="4685" w:hanging="3679"/>
              <w:jc w:val="both"/>
            </w:pPr>
            <w:r>
              <w:rPr>
                <w:sz w:val="28"/>
              </w:rPr>
              <w:t>17.</w:t>
            </w:r>
            <w:r>
              <w:t xml:space="preserve"> </w:t>
            </w:r>
            <w:r>
              <w:rPr>
                <w:sz w:val="28"/>
              </w:rPr>
              <w:t>辦理中(移外縣市未結案)：係指查核及檢驗案件移其他縣市辦理後，尚未進行處辦並結案之案件。</w:t>
            </w:r>
          </w:p>
          <w:p w:rsidR="00C141E6" w:rsidRDefault="00542CDB">
            <w:pPr>
              <w:pStyle w:val="Standard"/>
              <w:spacing w:line="360" w:lineRule="exact"/>
              <w:ind w:firstLine="280"/>
              <w:jc w:val="both"/>
              <w:rPr>
                <w:sz w:val="28"/>
              </w:rPr>
            </w:pPr>
            <w:r>
              <w:rPr>
                <w:sz w:val="28"/>
              </w:rPr>
              <w:t>（二）處理部分：</w:t>
            </w:r>
          </w:p>
          <w:p w:rsidR="00C141E6" w:rsidRDefault="00542CDB">
            <w:pPr>
              <w:pStyle w:val="Standard"/>
              <w:spacing w:line="360" w:lineRule="exact"/>
              <w:ind w:left="2101" w:hanging="1095"/>
              <w:jc w:val="both"/>
              <w:rPr>
                <w:sz w:val="28"/>
              </w:rPr>
            </w:pPr>
            <w:r>
              <w:rPr>
                <w:sz w:val="28"/>
              </w:rPr>
              <w:t>1.處理：係針對「一、查驗部分」中檢驗不符規定原因項目依法處理之情況。</w:t>
            </w:r>
          </w:p>
          <w:p w:rsidR="00C141E6" w:rsidRDefault="00542CDB">
            <w:pPr>
              <w:pStyle w:val="Standard"/>
              <w:spacing w:line="360" w:lineRule="exact"/>
              <w:ind w:left="4615" w:hanging="3609"/>
              <w:jc w:val="both"/>
              <w:rPr>
                <w:sz w:val="28"/>
              </w:rPr>
            </w:pPr>
            <w:r>
              <w:rPr>
                <w:sz w:val="28"/>
              </w:rPr>
              <w:t>2.檢驗不符規定產品之處理：係依據該食品檢驗不符規定項目分別依法處理之情況予以列計。</w:t>
            </w:r>
          </w:p>
          <w:p w:rsidR="00C141E6" w:rsidRDefault="00542CDB">
            <w:pPr>
              <w:pStyle w:val="Standard"/>
              <w:spacing w:line="360" w:lineRule="exact"/>
              <w:ind w:firstLine="280"/>
              <w:jc w:val="both"/>
              <w:rPr>
                <w:sz w:val="28"/>
              </w:rPr>
            </w:pPr>
            <w:r>
              <w:rPr>
                <w:sz w:val="28"/>
              </w:rPr>
              <w:t>（三）稽查部分：</w:t>
            </w:r>
          </w:p>
          <w:p w:rsidR="00C141E6" w:rsidRDefault="00542CDB">
            <w:pPr>
              <w:pStyle w:val="Standard"/>
              <w:spacing w:line="360" w:lineRule="exact"/>
              <w:ind w:left="2068" w:hanging="1036"/>
              <w:jc w:val="both"/>
              <w:rPr>
                <w:sz w:val="28"/>
              </w:rPr>
            </w:pPr>
            <w:r>
              <w:rPr>
                <w:sz w:val="28"/>
              </w:rPr>
              <w:t>1.稽查：係以食品工廠、其他一般食品製造業、物流業、餐飲業、傳播業、食品販賣業、</w:t>
            </w:r>
            <w:proofErr w:type="gramStart"/>
            <w:r>
              <w:rPr>
                <w:sz w:val="28"/>
              </w:rPr>
              <w:t>醫事照</w:t>
            </w:r>
            <w:proofErr w:type="gramEnd"/>
            <w:r>
              <w:rPr>
                <w:sz w:val="28"/>
              </w:rPr>
              <w:t>護機構為對象。</w:t>
            </w:r>
          </w:p>
          <w:p w:rsidR="00C141E6" w:rsidRDefault="00542CDB">
            <w:pPr>
              <w:pStyle w:val="Standard"/>
              <w:spacing w:line="360" w:lineRule="exact"/>
              <w:ind w:left="2626" w:hanging="1582"/>
              <w:jc w:val="both"/>
              <w:rPr>
                <w:sz w:val="28"/>
              </w:rPr>
            </w:pPr>
            <w:r>
              <w:rPr>
                <w:sz w:val="28"/>
              </w:rPr>
              <w:t>2.稽查家次：1家兼有兩種以上營業項目者，以2家次計算。例如：米及加工品工廠兼營餐盒食品工廠，稽查或處理時以2家次計算。</w:t>
            </w:r>
          </w:p>
          <w:p w:rsidR="00C141E6" w:rsidRDefault="00542CDB">
            <w:pPr>
              <w:pStyle w:val="Standard"/>
              <w:spacing w:line="360" w:lineRule="exact"/>
              <w:ind w:left="240"/>
              <w:jc w:val="both"/>
              <w:rPr>
                <w:spacing w:val="-4"/>
                <w:sz w:val="28"/>
              </w:rPr>
            </w:pPr>
            <w:proofErr w:type="gramStart"/>
            <w:r>
              <w:rPr>
                <w:spacing w:val="-4"/>
                <w:sz w:val="28"/>
              </w:rPr>
              <w:t>＊</w:t>
            </w:r>
            <w:proofErr w:type="gramEnd"/>
            <w:r>
              <w:rPr>
                <w:spacing w:val="-4"/>
                <w:sz w:val="28"/>
              </w:rPr>
              <w:t>統計單位：件、公斤、家、家次。</w:t>
            </w:r>
          </w:p>
          <w:p w:rsidR="00C141E6" w:rsidRDefault="00542CDB">
            <w:pPr>
              <w:pStyle w:val="Standard"/>
              <w:spacing w:line="360" w:lineRule="exact"/>
              <w:ind w:left="240"/>
              <w:jc w:val="both"/>
              <w:rPr>
                <w:spacing w:val="-4"/>
                <w:sz w:val="28"/>
              </w:rPr>
            </w:pPr>
            <w:proofErr w:type="gramStart"/>
            <w:r>
              <w:rPr>
                <w:spacing w:val="-4"/>
                <w:sz w:val="28"/>
              </w:rPr>
              <w:t>＊</w:t>
            </w:r>
            <w:proofErr w:type="gramEnd"/>
            <w:r>
              <w:rPr>
                <w:spacing w:val="-4"/>
                <w:sz w:val="28"/>
              </w:rPr>
              <w:t>統計分類：分為查驗、處理、稽查三大類。</w:t>
            </w:r>
          </w:p>
          <w:p w:rsidR="00C141E6" w:rsidRDefault="00542CDB">
            <w:pPr>
              <w:pStyle w:val="Standard"/>
              <w:spacing w:line="360" w:lineRule="exact"/>
              <w:ind w:left="240" w:firstLine="264"/>
              <w:jc w:val="both"/>
              <w:rPr>
                <w:spacing w:val="-4"/>
                <w:sz w:val="28"/>
              </w:rPr>
            </w:pPr>
            <w:r>
              <w:rPr>
                <w:spacing w:val="-4"/>
                <w:sz w:val="28"/>
              </w:rPr>
              <w:t>(</w:t>
            </w:r>
            <w:proofErr w:type="gramStart"/>
            <w:r>
              <w:rPr>
                <w:spacing w:val="-4"/>
                <w:sz w:val="28"/>
              </w:rPr>
              <w:t>一</w:t>
            </w:r>
            <w:proofErr w:type="gramEnd"/>
            <w:r>
              <w:rPr>
                <w:spacing w:val="-4"/>
                <w:sz w:val="28"/>
              </w:rPr>
              <w:t>)縱項目：查驗及處理依各類食品查驗項目分；稽查依廠商類別分。</w:t>
            </w:r>
          </w:p>
          <w:p w:rsidR="00C141E6" w:rsidRDefault="00542CDB">
            <w:pPr>
              <w:pStyle w:val="Standard"/>
              <w:spacing w:line="360" w:lineRule="exact"/>
              <w:ind w:left="240" w:firstLine="264"/>
              <w:jc w:val="both"/>
              <w:rPr>
                <w:spacing w:val="-4"/>
                <w:sz w:val="28"/>
              </w:rPr>
            </w:pPr>
            <w:r>
              <w:rPr>
                <w:spacing w:val="-4"/>
                <w:sz w:val="28"/>
              </w:rPr>
              <w:lastRenderedPageBreak/>
              <w:t>(二)橫項目：</w:t>
            </w:r>
          </w:p>
          <w:p w:rsidR="00C141E6" w:rsidRDefault="00542CDB">
            <w:pPr>
              <w:pStyle w:val="Standard"/>
              <w:spacing w:line="360" w:lineRule="exact"/>
              <w:ind w:left="2245" w:hanging="1191"/>
              <w:jc w:val="both"/>
              <w:rPr>
                <w:spacing w:val="-4"/>
                <w:sz w:val="28"/>
              </w:rPr>
            </w:pPr>
            <w:r>
              <w:rPr>
                <w:spacing w:val="-4"/>
                <w:sz w:val="28"/>
              </w:rPr>
              <w:t>1.查驗：(1)依查核及檢驗分(2)依查核不符規定及檢驗不符規定之原因查驗結果分。</w:t>
            </w:r>
          </w:p>
          <w:p w:rsidR="00C141E6" w:rsidRDefault="00542CDB">
            <w:pPr>
              <w:pStyle w:val="Standard"/>
              <w:spacing w:line="360" w:lineRule="exact"/>
              <w:ind w:left="2176" w:hanging="1118"/>
              <w:jc w:val="both"/>
              <w:rPr>
                <w:spacing w:val="-4"/>
                <w:sz w:val="28"/>
              </w:rPr>
            </w:pPr>
            <w:r>
              <w:rPr>
                <w:spacing w:val="-4"/>
                <w:sz w:val="28"/>
              </w:rPr>
              <w:t>2.處理：依處理情形分。</w:t>
            </w:r>
          </w:p>
          <w:p w:rsidR="00C141E6" w:rsidRDefault="00542CDB">
            <w:pPr>
              <w:pStyle w:val="Standard"/>
              <w:spacing w:line="360" w:lineRule="exact"/>
              <w:ind w:left="2176" w:hanging="1118"/>
              <w:jc w:val="both"/>
              <w:rPr>
                <w:spacing w:val="-4"/>
                <w:sz w:val="28"/>
              </w:rPr>
            </w:pPr>
            <w:r>
              <w:rPr>
                <w:spacing w:val="-4"/>
                <w:sz w:val="28"/>
              </w:rPr>
              <w:t>3.稽查：依稽查及處理情形分。</w:t>
            </w:r>
          </w:p>
          <w:p w:rsidR="00C141E6" w:rsidRDefault="00542CDB">
            <w:pPr>
              <w:pStyle w:val="Standard"/>
              <w:spacing w:line="360" w:lineRule="exact"/>
              <w:ind w:left="240"/>
              <w:jc w:val="both"/>
            </w:pPr>
            <w:proofErr w:type="gramStart"/>
            <w:r>
              <w:rPr>
                <w:spacing w:val="-4"/>
                <w:sz w:val="28"/>
              </w:rPr>
              <w:t>＊</w:t>
            </w:r>
            <w:proofErr w:type="gramEnd"/>
            <w:r>
              <w:rPr>
                <w:spacing w:val="-4"/>
                <w:sz w:val="28"/>
              </w:rPr>
              <w:t>發布週期</w:t>
            </w:r>
            <w:r>
              <w:rPr>
                <w:sz w:val="28"/>
              </w:rPr>
              <w:t>(</w:t>
            </w:r>
            <w:r>
              <w:rPr>
                <w:spacing w:val="-4"/>
                <w:sz w:val="28"/>
              </w:rPr>
              <w:t>指資料編製或產生之頻率，如月、季、年等)：年。</w:t>
            </w:r>
          </w:p>
          <w:p w:rsidR="00C141E6" w:rsidRDefault="00542CDB">
            <w:pPr>
              <w:pStyle w:val="Standard"/>
              <w:spacing w:line="360" w:lineRule="exact"/>
              <w:ind w:left="240"/>
              <w:jc w:val="both"/>
            </w:pPr>
            <w:proofErr w:type="gramStart"/>
            <w:r>
              <w:rPr>
                <w:spacing w:val="-4"/>
                <w:sz w:val="28"/>
              </w:rPr>
              <w:t>＊</w:t>
            </w:r>
            <w:proofErr w:type="gramEnd"/>
            <w:r>
              <w:rPr>
                <w:spacing w:val="-4"/>
                <w:sz w:val="28"/>
              </w:rPr>
              <w:t>時效</w:t>
            </w:r>
            <w:r>
              <w:rPr>
                <w:sz w:val="28"/>
              </w:rPr>
              <w:t>(</w:t>
            </w:r>
            <w:r>
              <w:rPr>
                <w:spacing w:val="-4"/>
                <w:sz w:val="28"/>
              </w:rPr>
              <w:t>指統計標準時間至資料發布時間之間隔時間)：</w:t>
            </w:r>
            <w:r>
              <w:rPr>
                <w:sz w:val="28"/>
              </w:rPr>
              <w:t>1個月又5日</w:t>
            </w:r>
            <w:r>
              <w:rPr>
                <w:spacing w:val="-4"/>
                <w:sz w:val="28"/>
              </w:rPr>
              <w:t>。</w:t>
            </w:r>
          </w:p>
          <w:p w:rsidR="00C141E6" w:rsidRDefault="00542CDB">
            <w:pPr>
              <w:pStyle w:val="Standard"/>
              <w:spacing w:line="360" w:lineRule="exact"/>
              <w:ind w:left="512" w:hanging="272"/>
              <w:jc w:val="both"/>
              <w:rPr>
                <w:spacing w:val="-4"/>
                <w:sz w:val="28"/>
              </w:rPr>
            </w:pPr>
            <w:proofErr w:type="gramStart"/>
            <w:r>
              <w:rPr>
                <w:spacing w:val="-4"/>
                <w:sz w:val="28"/>
              </w:rPr>
              <w:t>＊</w:t>
            </w:r>
            <w:proofErr w:type="gramEnd"/>
            <w:r>
              <w:rPr>
                <w:spacing w:val="-4"/>
                <w:sz w:val="28"/>
              </w:rPr>
              <w:t>資料變革：無。</w:t>
            </w:r>
          </w:p>
          <w:p w:rsidR="00C141E6" w:rsidRDefault="00542CDB">
            <w:pPr>
              <w:pStyle w:val="Standard"/>
              <w:spacing w:before="180" w:line="360" w:lineRule="exact"/>
              <w:jc w:val="both"/>
              <w:rPr>
                <w:sz w:val="28"/>
              </w:rPr>
            </w:pPr>
            <w:r>
              <w:rPr>
                <w:sz w:val="28"/>
              </w:rPr>
              <w:t>四、公開資料發布訊息</w:t>
            </w:r>
          </w:p>
          <w:p w:rsidR="00C141E6" w:rsidRDefault="00542CDB">
            <w:pPr>
              <w:pStyle w:val="Standard"/>
              <w:spacing w:line="360" w:lineRule="exact"/>
              <w:ind w:left="512" w:hanging="272"/>
              <w:jc w:val="both"/>
              <w:rPr>
                <w:spacing w:val="-4"/>
                <w:sz w:val="28"/>
              </w:rPr>
            </w:pPr>
            <w:proofErr w:type="gramStart"/>
            <w:r>
              <w:rPr>
                <w:spacing w:val="-4"/>
                <w:sz w:val="28"/>
              </w:rPr>
              <w:t>＊</w:t>
            </w:r>
            <w:proofErr w:type="gramEnd"/>
            <w:r>
              <w:rPr>
                <w:spacing w:val="-4"/>
                <w:sz w:val="28"/>
              </w:rPr>
              <w:t>預告發布日期(含預告方式及週期)：次年2月5日(遇假日順延)以報表、網際網路發布。</w:t>
            </w:r>
          </w:p>
          <w:p w:rsidR="00C141E6" w:rsidRDefault="00542CDB">
            <w:pPr>
              <w:pStyle w:val="Standard"/>
              <w:spacing w:line="360" w:lineRule="exact"/>
              <w:ind w:left="512" w:hanging="272"/>
              <w:jc w:val="both"/>
              <w:rPr>
                <w:spacing w:val="-4"/>
                <w:sz w:val="28"/>
              </w:rPr>
            </w:pPr>
            <w:proofErr w:type="gramStart"/>
            <w:r>
              <w:rPr>
                <w:spacing w:val="-4"/>
                <w:sz w:val="28"/>
              </w:rPr>
              <w:t>＊</w:t>
            </w:r>
            <w:proofErr w:type="gramEnd"/>
            <w:r>
              <w:rPr>
                <w:spacing w:val="-4"/>
                <w:sz w:val="28"/>
              </w:rPr>
              <w:t>同步發送單位(說明資料發布時同步發送之單位或可同步查得該資料之網址)：衛生福利部食品藥物管理署北區管理中心、桃園市政府主計處。</w:t>
            </w:r>
          </w:p>
          <w:p w:rsidR="00C141E6" w:rsidRDefault="00542CDB">
            <w:pPr>
              <w:pStyle w:val="Standard"/>
              <w:spacing w:before="180" w:line="360" w:lineRule="exact"/>
              <w:jc w:val="both"/>
              <w:rPr>
                <w:sz w:val="28"/>
              </w:rPr>
            </w:pPr>
            <w:r>
              <w:rPr>
                <w:sz w:val="28"/>
              </w:rPr>
              <w:t>五、資料品質</w:t>
            </w:r>
          </w:p>
          <w:p w:rsidR="00C141E6" w:rsidRDefault="00542CDB">
            <w:pPr>
              <w:pStyle w:val="Standard"/>
              <w:spacing w:line="360" w:lineRule="exact"/>
              <w:ind w:left="512" w:hanging="272"/>
              <w:jc w:val="both"/>
              <w:rPr>
                <w:spacing w:val="-4"/>
                <w:sz w:val="28"/>
              </w:rPr>
            </w:pPr>
            <w:proofErr w:type="gramStart"/>
            <w:r>
              <w:rPr>
                <w:spacing w:val="-4"/>
                <w:sz w:val="28"/>
              </w:rPr>
              <w:t>＊</w:t>
            </w:r>
            <w:proofErr w:type="gramEnd"/>
            <w:r>
              <w:rPr>
                <w:spacing w:val="-4"/>
                <w:sz w:val="28"/>
              </w:rPr>
              <w:t>統計指標編製方法與資料來源說明：由桃園市政府衛生局登錄之產品通路便捷查詢系統(PMDS)產出彙編。</w:t>
            </w:r>
            <w:bookmarkStart w:id="0" w:name="_GoBack"/>
            <w:bookmarkEnd w:id="0"/>
          </w:p>
          <w:p w:rsidR="00C141E6" w:rsidRDefault="00542CDB">
            <w:pPr>
              <w:pStyle w:val="Standard"/>
              <w:spacing w:line="360" w:lineRule="exact"/>
              <w:ind w:left="512" w:hanging="272"/>
              <w:jc w:val="both"/>
              <w:rPr>
                <w:spacing w:val="-4"/>
                <w:sz w:val="28"/>
              </w:rPr>
            </w:pPr>
            <w:proofErr w:type="gramStart"/>
            <w:r>
              <w:rPr>
                <w:spacing w:val="-4"/>
                <w:sz w:val="28"/>
              </w:rPr>
              <w:t>＊</w:t>
            </w:r>
            <w:proofErr w:type="gramEnd"/>
            <w:r>
              <w:rPr>
                <w:spacing w:val="-4"/>
                <w:sz w:val="28"/>
              </w:rPr>
              <w:t>統計資料交叉查核及確保資料合理性之機制(說明各項資料之相互關係及不同資料來源之相關統計差異性)：</w:t>
            </w:r>
          </w:p>
          <w:p w:rsidR="00C141E6" w:rsidRDefault="00542CDB">
            <w:pPr>
              <w:pStyle w:val="Standard"/>
              <w:spacing w:line="360" w:lineRule="exact"/>
              <w:ind w:left="513" w:hanging="11"/>
              <w:jc w:val="both"/>
              <w:rPr>
                <w:spacing w:val="-4"/>
                <w:sz w:val="28"/>
              </w:rPr>
            </w:pPr>
            <w:r>
              <w:rPr>
                <w:spacing w:val="-4"/>
                <w:sz w:val="28"/>
              </w:rPr>
              <w:t>(</w:t>
            </w:r>
            <w:proofErr w:type="gramStart"/>
            <w:r>
              <w:rPr>
                <w:spacing w:val="-4"/>
                <w:sz w:val="28"/>
              </w:rPr>
              <w:t>一</w:t>
            </w:r>
            <w:proofErr w:type="gramEnd"/>
            <w:r>
              <w:rPr>
                <w:spacing w:val="-4"/>
                <w:sz w:val="28"/>
              </w:rPr>
              <w:t>) 查驗件數＝查核件數＋檢驗件數。</w:t>
            </w:r>
          </w:p>
          <w:p w:rsidR="00C141E6" w:rsidRDefault="00542CDB">
            <w:pPr>
              <w:pStyle w:val="Standard"/>
              <w:spacing w:line="360" w:lineRule="exact"/>
              <w:ind w:left="513" w:hanging="11"/>
              <w:jc w:val="both"/>
              <w:rPr>
                <w:spacing w:val="-4"/>
                <w:sz w:val="28"/>
              </w:rPr>
            </w:pPr>
            <w:r>
              <w:rPr>
                <w:spacing w:val="-4"/>
                <w:sz w:val="28"/>
              </w:rPr>
              <w:t>(二) 不符規定比率=不符規定件數/查驗件數。</w:t>
            </w:r>
          </w:p>
          <w:p w:rsidR="00C141E6" w:rsidRDefault="00542CDB">
            <w:pPr>
              <w:pStyle w:val="Standard"/>
              <w:spacing w:line="360" w:lineRule="exact"/>
              <w:ind w:left="513" w:hanging="11"/>
              <w:jc w:val="both"/>
              <w:rPr>
                <w:spacing w:val="-4"/>
                <w:sz w:val="28"/>
              </w:rPr>
            </w:pPr>
            <w:r>
              <w:rPr>
                <w:spacing w:val="-4"/>
                <w:sz w:val="28"/>
              </w:rPr>
              <w:t>(三) 不符規定件數</w:t>
            </w:r>
            <w:proofErr w:type="gramStart"/>
            <w:r>
              <w:rPr>
                <w:spacing w:val="-4"/>
                <w:sz w:val="28"/>
              </w:rPr>
              <w:t>≧</w:t>
            </w:r>
            <w:proofErr w:type="gramEnd"/>
            <w:r>
              <w:rPr>
                <w:spacing w:val="-4"/>
                <w:sz w:val="28"/>
              </w:rPr>
              <w:t>查核不符規定件數+檢驗不符規定件數。</w:t>
            </w:r>
          </w:p>
          <w:p w:rsidR="00C141E6" w:rsidRDefault="00542CDB">
            <w:pPr>
              <w:pStyle w:val="Standard"/>
              <w:spacing w:before="180" w:line="360" w:lineRule="exact"/>
              <w:ind w:left="560" w:hanging="560"/>
              <w:jc w:val="both"/>
              <w:rPr>
                <w:sz w:val="28"/>
              </w:rPr>
            </w:pPr>
            <w:r>
              <w:rPr>
                <w:sz w:val="28"/>
              </w:rPr>
              <w:t>六、須注意及預定改變之事項(說明預定修正之資料、定義、統計方法等及其修正原因)：無。</w:t>
            </w:r>
          </w:p>
          <w:p w:rsidR="00C141E6" w:rsidRDefault="00542CDB">
            <w:pPr>
              <w:pStyle w:val="Standard"/>
              <w:spacing w:before="180" w:line="360" w:lineRule="exact"/>
              <w:jc w:val="both"/>
              <w:rPr>
                <w:sz w:val="28"/>
              </w:rPr>
            </w:pPr>
            <w:r>
              <w:rPr>
                <w:sz w:val="28"/>
              </w:rPr>
              <w:t>七、其他事項：無。</w:t>
            </w:r>
          </w:p>
          <w:p w:rsidR="00C141E6" w:rsidRDefault="00C141E6">
            <w:pPr>
              <w:pStyle w:val="Standard"/>
              <w:spacing w:before="240" w:line="360" w:lineRule="exact"/>
              <w:ind w:left="600" w:hanging="600"/>
              <w:jc w:val="both"/>
              <w:rPr>
                <w:rFonts w:ascii="Times New Roman" w:eastAsia="Symbol" w:hAnsi="Times New Roman"/>
                <w:sz w:val="28"/>
              </w:rPr>
            </w:pPr>
          </w:p>
        </w:tc>
      </w:tr>
    </w:tbl>
    <w:p w:rsidR="00C141E6" w:rsidRDefault="00C141E6">
      <w:pPr>
        <w:pStyle w:val="Standard"/>
        <w:rPr>
          <w:rFonts w:eastAsia="Symbol"/>
        </w:rPr>
      </w:pPr>
    </w:p>
    <w:sectPr w:rsidR="00C141E6">
      <w:pgSz w:w="11906" w:h="16838"/>
      <w:pgMar w:top="900" w:right="746" w:bottom="720" w:left="1800"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CE6" w:rsidRDefault="00542CDB">
      <w:pPr>
        <w:rPr>
          <w:rFonts w:hint="eastAsia"/>
        </w:rPr>
      </w:pPr>
      <w:r>
        <w:separator/>
      </w:r>
    </w:p>
  </w:endnote>
  <w:endnote w:type="continuationSeparator" w:id="0">
    <w:p w:rsidR="00330CE6" w:rsidRDefault="00542CD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新細明體, PMingLiU">
    <w:charset w:val="00"/>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CE6" w:rsidRDefault="00542CDB">
      <w:pPr>
        <w:rPr>
          <w:rFonts w:hint="eastAsia"/>
        </w:rPr>
      </w:pPr>
      <w:r>
        <w:rPr>
          <w:color w:val="000000"/>
        </w:rPr>
        <w:separator/>
      </w:r>
    </w:p>
  </w:footnote>
  <w:footnote w:type="continuationSeparator" w:id="0">
    <w:p w:rsidR="00330CE6" w:rsidRDefault="00542CD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79A4"/>
    <w:multiLevelType w:val="multilevel"/>
    <w:tmpl w:val="93F80418"/>
    <w:styleLink w:val="WW8Num5"/>
    <w:lvl w:ilvl="0">
      <w:start w:val="1"/>
      <w:numFmt w:val="japaneseCounting"/>
      <w:pStyle w:val="a"/>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15:restartNumberingAfterBreak="0">
    <w:nsid w:val="11621805"/>
    <w:multiLevelType w:val="multilevel"/>
    <w:tmpl w:val="3FAC0A54"/>
    <w:styleLink w:val="WW8Num4"/>
    <w:lvl w:ilvl="0">
      <w:numFmt w:val="bullet"/>
      <w:lvlText w:val="＊"/>
      <w:lvlJc w:val="left"/>
      <w:pPr>
        <w:ind w:left="579" w:hanging="285"/>
      </w:pPr>
      <w:rPr>
        <w:rFonts w:ascii="標楷體" w:eastAsia="標楷體" w:hAnsi="標楷體"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391668C"/>
    <w:multiLevelType w:val="multilevel"/>
    <w:tmpl w:val="C8B09F80"/>
    <w:styleLink w:val="WW8Num1"/>
    <w:lvl w:ilvl="0">
      <w:start w:val="1"/>
      <w:numFmt w:val="japaneseCounting"/>
      <w:pStyle w:val="1"/>
      <w:lvlText w:val="第%1章"/>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1CA03E0"/>
    <w:multiLevelType w:val="multilevel"/>
    <w:tmpl w:val="9E48AE6E"/>
    <w:styleLink w:val="WW8Num2"/>
    <w:lvl w:ilvl="0">
      <w:start w:val="1"/>
      <w:numFmt w:val="japaneseCounting"/>
      <w:lvlText w:val="%1、"/>
      <w:lvlJc w:val="left"/>
      <w:pPr>
        <w:ind w:left="57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0565C18"/>
    <w:multiLevelType w:val="multilevel"/>
    <w:tmpl w:val="853A9816"/>
    <w:styleLink w:val="WW8Num3"/>
    <w:lvl w:ilvl="0">
      <w:numFmt w:val="bullet"/>
      <w:lvlText w:val="＊"/>
      <w:lvlJc w:val="left"/>
      <w:pPr>
        <w:ind w:left="579" w:hanging="285"/>
      </w:pPr>
      <w:rPr>
        <w:rFonts w:ascii="標楷體" w:eastAsia="標楷體" w:hAnsi="標楷體"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1E6"/>
    <w:rsid w:val="00330CE6"/>
    <w:rsid w:val="00542CDB"/>
    <w:rsid w:val="00827685"/>
    <w:rsid w:val="00C141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4F89091-D31F-4BC4-BBFE-F147CEBC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rPr>
      <w:rFonts w:ascii="標楷體" w:eastAsia="標楷體" w:hAnsi="標楷體"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6">
    <w:name w:val="List Paragraph"/>
    <w:basedOn w:val="Standard"/>
    <w:pPr>
      <w:ind w:left="480"/>
    </w:pPr>
  </w:style>
  <w:style w:type="paragraph" w:customStyle="1" w:styleId="1">
    <w:name w:val="1.章"/>
    <w:basedOn w:val="a6"/>
    <w:pPr>
      <w:numPr>
        <w:numId w:val="1"/>
      </w:numPr>
    </w:pPr>
    <w:rPr>
      <w:rFonts w:ascii="Times New Roman" w:hAnsi="Times New Roman" w:cs="標楷體"/>
      <w:sz w:val="32"/>
      <w:szCs w:val="32"/>
    </w:rPr>
  </w:style>
  <w:style w:type="paragraph" w:customStyle="1" w:styleId="a">
    <w:name w:val="節"/>
    <w:basedOn w:val="a6"/>
    <w:pPr>
      <w:numPr>
        <w:numId w:val="5"/>
      </w:numPr>
    </w:pPr>
    <w:rPr>
      <w:rFonts w:ascii="Times New Roman" w:hAnsi="Times New Roman" w:cs="標楷體"/>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Balloon Text"/>
    <w:basedOn w:val="Standard"/>
    <w:rPr>
      <w:rFonts w:ascii="Cambria" w:eastAsia="新細明體, PMingLiU" w:hAnsi="Cambri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標楷體" w:eastAsia="標楷體" w:hAnsi="標楷體" w:cs="Times New Roman"/>
    </w:rPr>
  </w:style>
  <w:style w:type="character" w:customStyle="1" w:styleId="WW8Num4z0">
    <w:name w:val="WW8Num4z0"/>
    <w:rPr>
      <w:rFonts w:ascii="標楷體" w:eastAsia="標楷體" w:hAnsi="標楷體" w:cs="Times New Roman"/>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a">
    <w:name w:val="清單段落 字元"/>
    <w:rPr>
      <w:kern w:val="3"/>
      <w:sz w:val="24"/>
      <w:szCs w:val="22"/>
    </w:rPr>
  </w:style>
  <w:style w:type="character" w:customStyle="1" w:styleId="10">
    <w:name w:val="1.章 字元"/>
    <w:rPr>
      <w:rFonts w:ascii="Times New Roman" w:eastAsia="標楷體" w:hAnsi="Times New Roman" w:cs="標楷體"/>
      <w:kern w:val="3"/>
      <w:sz w:val="32"/>
      <w:szCs w:val="32"/>
    </w:rPr>
  </w:style>
  <w:style w:type="character" w:customStyle="1" w:styleId="ab">
    <w:name w:val="節 字元"/>
    <w:rPr>
      <w:rFonts w:ascii="Times New Roman" w:eastAsia="標楷體" w:hAnsi="Times New Roman" w:cs="標楷體"/>
      <w:kern w:val="3"/>
      <w:sz w:val="24"/>
      <w:szCs w:val="22"/>
    </w:rPr>
  </w:style>
  <w:style w:type="character" w:customStyle="1" w:styleId="ac">
    <w:name w:val="頁首 字元"/>
    <w:rPr>
      <w:rFonts w:ascii="標楷體" w:eastAsia="標楷體" w:hAnsi="標楷體" w:cs="標楷體"/>
      <w:kern w:val="3"/>
    </w:rPr>
  </w:style>
  <w:style w:type="character" w:customStyle="1" w:styleId="ad">
    <w:name w:val="頁尾 字元"/>
    <w:rPr>
      <w:rFonts w:ascii="標楷體" w:eastAsia="標楷體" w:hAnsi="標楷體" w:cs="標楷體"/>
      <w:kern w:val="3"/>
    </w:rPr>
  </w:style>
  <w:style w:type="character" w:customStyle="1" w:styleId="ae">
    <w:name w:val="註解方塊文字 字元"/>
    <w:rPr>
      <w:rFonts w:ascii="Cambria" w:eastAsia="新細明體, PMingLiU" w:hAnsi="Cambria" w:cs="Times New Roman"/>
      <w:kern w:val="3"/>
      <w:sz w:val="18"/>
      <w:szCs w:val="18"/>
    </w:rPr>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creator>Damita</dc:creator>
  <cp:lastModifiedBy>鄒定臻</cp:lastModifiedBy>
  <cp:revision>2</cp:revision>
  <cp:lastPrinted>2014-12-01T13:18:00Z</cp:lastPrinted>
  <dcterms:created xsi:type="dcterms:W3CDTF">2023-10-20T06:55:00Z</dcterms:created>
  <dcterms:modified xsi:type="dcterms:W3CDTF">2023-10-20T06:55:00Z</dcterms:modified>
</cp:coreProperties>
</file>