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9" w:rsidRPr="00AC1761" w:rsidRDefault="000354A9" w:rsidP="00187B26">
      <w:pPr>
        <w:spacing w:line="360" w:lineRule="exact"/>
        <w:jc w:val="center"/>
        <w:rPr>
          <w:b/>
          <w:bCs/>
          <w:spacing w:val="-4"/>
          <w:sz w:val="32"/>
          <w:szCs w:val="32"/>
        </w:rPr>
      </w:pPr>
      <w:r w:rsidRPr="00AC1761">
        <w:rPr>
          <w:rFonts w:hint="eastAsia"/>
          <w:b/>
          <w:bCs/>
          <w:spacing w:val="-4"/>
          <w:sz w:val="32"/>
          <w:szCs w:val="32"/>
        </w:rPr>
        <w:t>統計資料背景說明</w:t>
      </w:r>
    </w:p>
    <w:p w:rsidR="000354A9" w:rsidRPr="00810FD7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資料種類：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營造業統計</w:t>
      </w:r>
    </w:p>
    <w:p w:rsidR="000354A9" w:rsidRPr="00810FD7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資料項目：</w:t>
      </w:r>
      <w:r w:rsidR="00ED40CC" w:rsidRPr="00810FD7">
        <w:rPr>
          <w:rFonts w:hint="eastAsia"/>
          <w:color w:val="0D0D0D" w:themeColor="text1" w:themeTint="F2"/>
          <w:sz w:val="28"/>
          <w:szCs w:val="28"/>
        </w:rPr>
        <w:t>桃園</w:t>
      </w:r>
      <w:r w:rsidR="00687AC5" w:rsidRPr="00810FD7">
        <w:rPr>
          <w:rFonts w:hint="eastAsia"/>
          <w:color w:val="0D0D0D" w:themeColor="text1" w:themeTint="F2"/>
          <w:spacing w:val="-4"/>
          <w:sz w:val="28"/>
          <w:szCs w:val="28"/>
        </w:rPr>
        <w:t>市</w:t>
      </w:r>
      <w:r w:rsidR="00ED40CC" w:rsidRPr="00810FD7">
        <w:rPr>
          <w:rFonts w:hint="eastAsia"/>
          <w:color w:val="0D0D0D" w:themeColor="text1" w:themeTint="F2"/>
          <w:sz w:val="28"/>
          <w:szCs w:val="28"/>
        </w:rPr>
        <w:t>污水下水道系統執行概況</w:t>
      </w:r>
    </w:p>
    <w:p w:rsidR="000354A9" w:rsidRPr="00810FD7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一、發布及編製機關單位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pacing w:val="-4"/>
          <w:sz w:val="28"/>
          <w:szCs w:val="28"/>
        </w:rPr>
      </w:pPr>
      <w:r w:rsidRPr="00810FD7">
        <w:rPr>
          <w:rFonts w:hint="eastAsia"/>
          <w:color w:val="0D0D0D" w:themeColor="text1" w:themeTint="F2"/>
          <w:spacing w:val="-4"/>
          <w:sz w:val="28"/>
          <w:szCs w:val="28"/>
        </w:rPr>
        <w:t>＊</w:t>
      </w:r>
      <w:r w:rsidR="00ED40CC" w:rsidRPr="00810FD7">
        <w:rPr>
          <w:rFonts w:hint="eastAsia"/>
          <w:color w:val="0D0D0D" w:themeColor="text1" w:themeTint="F2"/>
          <w:spacing w:val="-4"/>
          <w:sz w:val="28"/>
          <w:szCs w:val="28"/>
        </w:rPr>
        <w:t>發布機關：</w:t>
      </w:r>
      <w:r w:rsidR="0057445F" w:rsidRPr="00810FD7">
        <w:rPr>
          <w:rFonts w:hint="eastAsia"/>
          <w:color w:val="0D0D0D" w:themeColor="text1" w:themeTint="F2"/>
          <w:kern w:val="0"/>
          <w:sz w:val="28"/>
          <w:szCs w:val="28"/>
        </w:rPr>
        <w:t>桃園市</w:t>
      </w:r>
      <w:r w:rsidR="00ED40CC" w:rsidRPr="00810FD7">
        <w:rPr>
          <w:rFonts w:hint="eastAsia"/>
          <w:color w:val="0D0D0D" w:themeColor="text1" w:themeTint="F2"/>
          <w:spacing w:val="-4"/>
          <w:sz w:val="28"/>
          <w:szCs w:val="28"/>
        </w:rPr>
        <w:t>政府水務局</w:t>
      </w:r>
      <w:r w:rsidR="002270B4" w:rsidRPr="00810FD7">
        <w:rPr>
          <w:rFonts w:hint="eastAsia"/>
          <w:color w:val="0D0D0D" w:themeColor="text1" w:themeTint="F2"/>
          <w:spacing w:val="-4"/>
          <w:sz w:val="28"/>
          <w:szCs w:val="28"/>
        </w:rPr>
        <w:t>會計室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pacing w:val="-10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＊編製單位：</w:t>
      </w:r>
      <w:r w:rsidR="0057445F" w:rsidRPr="006D2B3D">
        <w:rPr>
          <w:rFonts w:hint="eastAsia"/>
          <w:color w:val="000000" w:themeColor="text1"/>
          <w:kern w:val="0"/>
          <w:sz w:val="28"/>
          <w:szCs w:val="28"/>
        </w:rPr>
        <w:t>桃園市</w:t>
      </w:r>
      <w:r w:rsidR="00B6142E" w:rsidRPr="006D2B3D">
        <w:rPr>
          <w:rFonts w:hint="eastAsia"/>
          <w:color w:val="000000" w:themeColor="text1"/>
          <w:sz w:val="28"/>
          <w:szCs w:val="28"/>
        </w:rPr>
        <w:t>政府水務局</w:t>
      </w:r>
      <w:r w:rsidR="00A521BC" w:rsidRPr="006D2B3D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污水</w:t>
      </w:r>
      <w:r w:rsidR="00A70DB1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設施管理</w:t>
      </w:r>
      <w:r w:rsidR="002A2ACA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工程</w:t>
      </w:r>
      <w:r w:rsidR="00B6142E" w:rsidRPr="006D2B3D">
        <w:rPr>
          <w:rFonts w:hAnsi="標楷體" w:hint="eastAsia"/>
          <w:color w:val="000000" w:themeColor="text1"/>
          <w:sz w:val="28"/>
          <w:szCs w:val="28"/>
        </w:rPr>
        <w:t>科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＊聯絡電話：</w:t>
      </w:r>
      <w:r w:rsidR="00B6142E" w:rsidRPr="00810FD7">
        <w:rPr>
          <w:rFonts w:hint="eastAsia"/>
          <w:color w:val="0D0D0D" w:themeColor="text1" w:themeTint="F2"/>
          <w:sz w:val="28"/>
          <w:szCs w:val="28"/>
        </w:rPr>
        <w:t>(03)</w:t>
      </w:r>
      <w:r w:rsidR="00A364A1">
        <w:rPr>
          <w:rFonts w:hint="eastAsia"/>
          <w:color w:val="0D0D0D" w:themeColor="text1" w:themeTint="F2"/>
          <w:sz w:val="28"/>
          <w:szCs w:val="28"/>
        </w:rPr>
        <w:t>3033609</w:t>
      </w:r>
      <w:r w:rsidR="00B6142E" w:rsidRPr="00810FD7">
        <w:rPr>
          <w:rFonts w:hint="eastAsia"/>
          <w:color w:val="0D0D0D" w:themeColor="text1" w:themeTint="F2"/>
          <w:sz w:val="28"/>
          <w:szCs w:val="28"/>
        </w:rPr>
        <w:t>轉</w:t>
      </w:r>
      <w:r w:rsidR="00A364A1">
        <w:rPr>
          <w:rFonts w:hint="eastAsia"/>
          <w:color w:val="0D0D0D" w:themeColor="text1" w:themeTint="F2"/>
          <w:sz w:val="28"/>
          <w:szCs w:val="28"/>
        </w:rPr>
        <w:t>3510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＊傳真：</w:t>
      </w:r>
      <w:r w:rsidR="00A364A1">
        <w:rPr>
          <w:rFonts w:hint="eastAsia"/>
          <w:color w:val="0D0D0D" w:themeColor="text1" w:themeTint="F2"/>
          <w:sz w:val="28"/>
          <w:szCs w:val="28"/>
        </w:rPr>
        <w:t>(03)3033666</w:t>
      </w:r>
    </w:p>
    <w:p w:rsidR="000354A9" w:rsidRPr="00810FD7" w:rsidRDefault="000354A9" w:rsidP="000354A9">
      <w:pPr>
        <w:spacing w:line="360" w:lineRule="exact"/>
        <w:ind w:left="720" w:hanging="42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＊電子信箱：</w:t>
      </w:r>
      <w:r w:rsidR="00B6142E" w:rsidRPr="00810FD7">
        <w:rPr>
          <w:rFonts w:hint="eastAsia"/>
          <w:color w:val="0D0D0D" w:themeColor="text1" w:themeTint="F2"/>
          <w:sz w:val="28"/>
          <w:szCs w:val="28"/>
        </w:rPr>
        <w:t>075065@mail.tycg.gov.tw</w:t>
      </w:r>
    </w:p>
    <w:p w:rsidR="000354A9" w:rsidRPr="00810FD7" w:rsidRDefault="000354A9" w:rsidP="000354A9">
      <w:pPr>
        <w:spacing w:line="360" w:lineRule="exact"/>
        <w:ind w:left="540" w:hanging="54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二、發布形式</w:t>
      </w:r>
    </w:p>
    <w:p w:rsidR="000354A9" w:rsidRPr="00810FD7" w:rsidRDefault="000354A9" w:rsidP="000354A9">
      <w:pPr>
        <w:numPr>
          <w:ilvl w:val="0"/>
          <w:numId w:val="2"/>
        </w:num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口頭：</w:t>
      </w:r>
    </w:p>
    <w:p w:rsidR="000354A9" w:rsidRPr="00810FD7" w:rsidRDefault="000354A9" w:rsidP="000354A9">
      <w:p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color w:val="0D0D0D" w:themeColor="text1" w:themeTint="F2"/>
          <w:sz w:val="28"/>
          <w:szCs w:val="28"/>
        </w:rPr>
        <w:t xml:space="preserve">   </w:t>
      </w:r>
      <w:r w:rsidRPr="00810FD7">
        <w:rPr>
          <w:rFonts w:hint="eastAsia"/>
          <w:color w:val="0D0D0D" w:themeColor="text1" w:themeTint="F2"/>
          <w:sz w:val="28"/>
          <w:szCs w:val="28"/>
        </w:rPr>
        <w:t>（ ）記者會或說明會</w:t>
      </w:r>
    </w:p>
    <w:p w:rsidR="000354A9" w:rsidRPr="00810FD7" w:rsidRDefault="000354A9" w:rsidP="000354A9">
      <w:pPr>
        <w:numPr>
          <w:ilvl w:val="0"/>
          <w:numId w:val="1"/>
        </w:numPr>
        <w:spacing w:line="360" w:lineRule="exact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書面：</w:t>
      </w:r>
    </w:p>
    <w:p w:rsidR="000354A9" w:rsidRPr="00810FD7" w:rsidRDefault="000354A9" w:rsidP="000354A9">
      <w:pPr>
        <w:spacing w:line="360" w:lineRule="exact"/>
        <w:ind w:left="294"/>
        <w:rPr>
          <w:color w:val="0D0D0D" w:themeColor="text1" w:themeTint="F2"/>
          <w:sz w:val="28"/>
          <w:szCs w:val="28"/>
        </w:rPr>
      </w:pPr>
      <w:r w:rsidRPr="00810FD7">
        <w:rPr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Pr="00810FD7">
        <w:rPr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）新聞稿</w:t>
      </w:r>
      <w:r w:rsidRPr="00810FD7">
        <w:rPr>
          <w:color w:val="0D0D0D" w:themeColor="text1" w:themeTint="F2"/>
          <w:sz w:val="28"/>
          <w:szCs w:val="28"/>
        </w:rPr>
        <w:t xml:space="preserve">   </w:t>
      </w: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="00DD46EF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）報表  （ ）書刊，刊名：</w:t>
      </w:r>
    </w:p>
    <w:p w:rsidR="000354A9" w:rsidRPr="00810FD7" w:rsidRDefault="000354A9" w:rsidP="000354A9">
      <w:pPr>
        <w:spacing w:line="360" w:lineRule="exact"/>
        <w:ind w:left="29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＊電子媒體：</w:t>
      </w:r>
    </w:p>
    <w:p w:rsidR="00F83702" w:rsidRDefault="000354A9" w:rsidP="00AC1761">
      <w:pPr>
        <w:spacing w:line="360" w:lineRule="exact"/>
        <w:ind w:leftChars="180" w:left="726" w:rightChars="-137" w:right="-329" w:hanging="294"/>
        <w:rPr>
          <w:color w:val="0D0D0D" w:themeColor="text1" w:themeTint="F2"/>
          <w:szCs w:val="24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="00F83702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）線上書刊及資料庫，網址：</w:t>
      </w:r>
    </w:p>
    <w:p w:rsidR="000354A9" w:rsidRDefault="000354A9" w:rsidP="00AC1761">
      <w:pPr>
        <w:spacing w:line="360" w:lineRule="exact"/>
        <w:ind w:leftChars="180" w:left="726" w:rightChars="-137" w:right="-329" w:hanging="29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Pr="00810FD7">
        <w:rPr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）磁片</w:t>
      </w:r>
      <w:r w:rsidRPr="00810FD7">
        <w:rPr>
          <w:color w:val="0D0D0D" w:themeColor="text1" w:themeTint="F2"/>
          <w:sz w:val="28"/>
          <w:szCs w:val="28"/>
        </w:rPr>
        <w:t xml:space="preserve">   </w:t>
      </w: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Pr="00810FD7">
        <w:rPr>
          <w:color w:val="0D0D0D" w:themeColor="text1" w:themeTint="F2"/>
          <w:sz w:val="28"/>
          <w:szCs w:val="28"/>
        </w:rPr>
        <w:t xml:space="preserve"> </w:t>
      </w:r>
      <w:r w:rsidRPr="00810FD7">
        <w:rPr>
          <w:rFonts w:hint="eastAsia"/>
          <w:color w:val="0D0D0D" w:themeColor="text1" w:themeTint="F2"/>
          <w:sz w:val="28"/>
          <w:szCs w:val="28"/>
        </w:rPr>
        <w:t>）光碟片</w:t>
      </w:r>
      <w:r w:rsidRPr="00810FD7">
        <w:rPr>
          <w:color w:val="0D0D0D" w:themeColor="text1" w:themeTint="F2"/>
          <w:sz w:val="28"/>
          <w:szCs w:val="28"/>
        </w:rPr>
        <w:t xml:space="preserve">  </w:t>
      </w:r>
      <w:r w:rsidRPr="00810FD7">
        <w:rPr>
          <w:rFonts w:hint="eastAsia"/>
          <w:color w:val="0D0D0D" w:themeColor="text1" w:themeTint="F2"/>
          <w:sz w:val="28"/>
          <w:szCs w:val="28"/>
        </w:rPr>
        <w:t>（</w:t>
      </w:r>
      <w:r w:rsidR="00DD46EF" w:rsidRPr="00810FD7">
        <w:rPr>
          <w:rFonts w:hint="eastAsia"/>
          <w:color w:val="0D0D0D" w:themeColor="text1" w:themeTint="F2"/>
          <w:sz w:val="28"/>
          <w:szCs w:val="28"/>
        </w:rPr>
        <w:t>v</w:t>
      </w:r>
      <w:r w:rsidRPr="00810FD7">
        <w:rPr>
          <w:rFonts w:hint="eastAsia"/>
          <w:color w:val="0D0D0D" w:themeColor="text1" w:themeTint="F2"/>
          <w:sz w:val="28"/>
          <w:szCs w:val="28"/>
        </w:rPr>
        <w:t>）其他</w:t>
      </w:r>
      <w:r w:rsidR="00CF3E12">
        <w:rPr>
          <w:rFonts w:hint="eastAsia"/>
          <w:color w:val="0D0D0D" w:themeColor="text1" w:themeTint="F2"/>
          <w:sz w:val="28"/>
          <w:szCs w:val="28"/>
        </w:rPr>
        <w:t>：</w:t>
      </w:r>
    </w:p>
    <w:p w:rsidR="00CF3E12" w:rsidRPr="00CF3E12" w:rsidRDefault="00CF3E12" w:rsidP="00AC1761">
      <w:pPr>
        <w:spacing w:line="360" w:lineRule="exact"/>
        <w:ind w:leftChars="180" w:left="726" w:rightChars="-137" w:right="-329" w:hanging="294"/>
        <w:rPr>
          <w:sz w:val="28"/>
          <w:szCs w:val="28"/>
        </w:rPr>
      </w:pPr>
      <w:r w:rsidRPr="00CF3E12">
        <w:rPr>
          <w:rFonts w:hint="eastAsia"/>
          <w:szCs w:val="28"/>
        </w:rPr>
        <w:t>Open Document File (odf)、Portable Document Format (pdf) 或Excel檔案。</w:t>
      </w:r>
    </w:p>
    <w:p w:rsidR="000354A9" w:rsidRPr="00810FD7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三、資料範圍、週期及時效</w:t>
      </w:r>
    </w:p>
    <w:p w:rsidR="000354A9" w:rsidRPr="00810FD7" w:rsidRDefault="000354A9" w:rsidP="00ED40CC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＊統計地區範圍及對象：</w:t>
      </w:r>
      <w:r w:rsidR="00923B68" w:rsidRPr="00810FD7">
        <w:rPr>
          <w:rFonts w:hint="eastAsia"/>
          <w:color w:val="0D0D0D" w:themeColor="text1" w:themeTint="F2"/>
          <w:sz w:val="28"/>
          <w:szCs w:val="28"/>
        </w:rPr>
        <w:t>凡本</w:t>
      </w:r>
      <w:r w:rsidR="00FA0BDC" w:rsidRPr="00810FD7">
        <w:rPr>
          <w:rFonts w:hint="eastAsia"/>
          <w:color w:val="0D0D0D" w:themeColor="text1" w:themeTint="F2"/>
          <w:sz w:val="28"/>
          <w:szCs w:val="28"/>
        </w:rPr>
        <w:t>市</w:t>
      </w:r>
      <w:r w:rsidR="00923B68" w:rsidRPr="00810FD7">
        <w:rPr>
          <w:rFonts w:hint="eastAsia"/>
          <w:color w:val="0D0D0D" w:themeColor="text1" w:themeTint="F2"/>
          <w:sz w:val="28"/>
          <w:szCs w:val="28"/>
        </w:rPr>
        <w:t>污水下水道系統含公共、專用下水道及建築物污水處理設施，均為統計對象。</w:t>
      </w:r>
    </w:p>
    <w:p w:rsidR="00286ED9" w:rsidRPr="00810FD7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＊統計標準時間：</w:t>
      </w:r>
      <w:r w:rsidR="00286ED9" w:rsidRPr="00810FD7">
        <w:rPr>
          <w:rFonts w:hint="eastAsia"/>
          <w:color w:val="0D0D0D" w:themeColor="text1" w:themeTint="F2"/>
          <w:sz w:val="28"/>
          <w:szCs w:val="28"/>
        </w:rPr>
        <w:t>動態資料以每年</w:t>
      </w:r>
      <w:smartTag w:uri="urn:schemas-microsoft-com:office:smarttags" w:element="chsdate">
        <w:smartTagPr>
          <w:attr w:name="Year" w:val="2008"/>
          <w:attr w:name="Month" w:val="1"/>
          <w:attr w:name="Day" w:val="1"/>
          <w:attr w:name="IsLunarDate" w:val="False"/>
          <w:attr w:name="IsROCDate" w:val="False"/>
        </w:smartTagPr>
        <w:r w:rsidR="00286ED9" w:rsidRPr="00810FD7">
          <w:rPr>
            <w:color w:val="0D0D0D" w:themeColor="text1" w:themeTint="F2"/>
            <w:sz w:val="28"/>
            <w:szCs w:val="28"/>
          </w:rPr>
          <w:t>1</w:t>
        </w:r>
        <w:r w:rsidR="00286ED9" w:rsidRPr="00810FD7">
          <w:rPr>
            <w:rFonts w:hint="eastAsia"/>
            <w:color w:val="0D0D0D" w:themeColor="text1" w:themeTint="F2"/>
            <w:sz w:val="28"/>
            <w:szCs w:val="28"/>
          </w:rPr>
          <w:t>月</w:t>
        </w:r>
        <w:r w:rsidR="00286ED9" w:rsidRPr="00810FD7">
          <w:rPr>
            <w:color w:val="0D0D0D" w:themeColor="text1" w:themeTint="F2"/>
            <w:sz w:val="28"/>
            <w:szCs w:val="28"/>
          </w:rPr>
          <w:t>1</w:t>
        </w:r>
        <w:r w:rsidR="00286ED9" w:rsidRPr="00810FD7">
          <w:rPr>
            <w:rFonts w:hint="eastAsia"/>
            <w:color w:val="0D0D0D" w:themeColor="text1" w:themeTint="F2"/>
            <w:sz w:val="28"/>
            <w:szCs w:val="28"/>
          </w:rPr>
          <w:t>日</w:t>
        </w:r>
      </w:smartTag>
      <w:r w:rsidR="00286ED9" w:rsidRPr="00810FD7">
        <w:rPr>
          <w:rFonts w:hint="eastAsia"/>
          <w:color w:val="0D0D0D" w:themeColor="text1" w:themeTint="F2"/>
          <w:sz w:val="28"/>
          <w:szCs w:val="28"/>
        </w:rPr>
        <w:t>至</w:t>
      </w:r>
      <w:smartTag w:uri="urn:schemas-microsoft-com:office:smarttags" w:element="chsdate">
        <w:smartTagPr>
          <w:attr w:name="Year" w:val="2008"/>
          <w:attr w:name="Month" w:val="12"/>
          <w:attr w:name="Day" w:val="31"/>
          <w:attr w:name="IsLunarDate" w:val="False"/>
          <w:attr w:name="IsROCDate" w:val="False"/>
        </w:smartTagPr>
        <w:r w:rsidR="00286ED9" w:rsidRPr="00810FD7">
          <w:rPr>
            <w:color w:val="0D0D0D" w:themeColor="text1" w:themeTint="F2"/>
            <w:sz w:val="28"/>
            <w:szCs w:val="28"/>
          </w:rPr>
          <w:t>12</w:t>
        </w:r>
        <w:r w:rsidR="00286ED9" w:rsidRPr="00810FD7">
          <w:rPr>
            <w:rFonts w:hint="eastAsia"/>
            <w:color w:val="0D0D0D" w:themeColor="text1" w:themeTint="F2"/>
            <w:sz w:val="28"/>
            <w:szCs w:val="28"/>
          </w:rPr>
          <w:t>月</w:t>
        </w:r>
        <w:r w:rsidR="00286ED9" w:rsidRPr="00810FD7">
          <w:rPr>
            <w:color w:val="0D0D0D" w:themeColor="text1" w:themeTint="F2"/>
            <w:sz w:val="28"/>
            <w:szCs w:val="28"/>
          </w:rPr>
          <w:t>31</w:t>
        </w:r>
        <w:r w:rsidR="00286ED9" w:rsidRPr="00810FD7">
          <w:rPr>
            <w:rFonts w:hint="eastAsia"/>
            <w:color w:val="0D0D0D" w:themeColor="text1" w:themeTint="F2"/>
            <w:sz w:val="28"/>
            <w:szCs w:val="28"/>
          </w:rPr>
          <w:t>日</w:t>
        </w:r>
      </w:smartTag>
      <w:r w:rsidR="00286ED9" w:rsidRPr="00810FD7">
        <w:rPr>
          <w:rFonts w:hint="eastAsia"/>
          <w:color w:val="0D0D0D" w:themeColor="text1" w:themeTint="F2"/>
          <w:sz w:val="28"/>
          <w:szCs w:val="28"/>
        </w:rPr>
        <w:t>之事實為</w:t>
      </w:r>
    </w:p>
    <w:p w:rsidR="000354A9" w:rsidRPr="00810FD7" w:rsidRDefault="00286ED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 xml:space="preserve">  準；靜態資料以每年</w:t>
      </w:r>
      <w:smartTag w:uri="urn:schemas-microsoft-com:office:smarttags" w:element="chsdate">
        <w:smartTagPr>
          <w:attr w:name="Year" w:val="2008"/>
          <w:attr w:name="Month" w:val="12"/>
          <w:attr w:name="Day" w:val="31"/>
          <w:attr w:name="IsLunarDate" w:val="False"/>
          <w:attr w:name="IsROCDate" w:val="False"/>
        </w:smartTagPr>
        <w:r w:rsidRPr="00810FD7">
          <w:rPr>
            <w:color w:val="0D0D0D" w:themeColor="text1" w:themeTint="F2"/>
            <w:sz w:val="28"/>
            <w:szCs w:val="28"/>
          </w:rPr>
          <w:t>12</w:t>
        </w:r>
        <w:r w:rsidRPr="00810FD7">
          <w:rPr>
            <w:rFonts w:hint="eastAsia"/>
            <w:color w:val="0D0D0D" w:themeColor="text1" w:themeTint="F2"/>
            <w:sz w:val="28"/>
            <w:szCs w:val="28"/>
          </w:rPr>
          <w:t>月</w:t>
        </w:r>
        <w:r w:rsidRPr="00810FD7">
          <w:rPr>
            <w:color w:val="0D0D0D" w:themeColor="text1" w:themeTint="F2"/>
            <w:sz w:val="28"/>
            <w:szCs w:val="28"/>
          </w:rPr>
          <w:t>31</w:t>
        </w:r>
        <w:r w:rsidRPr="00810FD7">
          <w:rPr>
            <w:rFonts w:hint="eastAsia"/>
            <w:color w:val="0D0D0D" w:themeColor="text1" w:themeTint="F2"/>
            <w:sz w:val="28"/>
            <w:szCs w:val="28"/>
          </w:rPr>
          <w:t>日</w:t>
        </w:r>
      </w:smartTag>
      <w:r w:rsidRPr="00810FD7">
        <w:rPr>
          <w:rFonts w:hint="eastAsia"/>
          <w:color w:val="0D0D0D" w:themeColor="text1" w:themeTint="F2"/>
          <w:sz w:val="28"/>
          <w:szCs w:val="28"/>
        </w:rPr>
        <w:t>之事實為準</w:t>
      </w:r>
      <w:r w:rsidR="00ED40CC"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＊統計項目定義：</w:t>
      </w:r>
    </w:p>
    <w:p w:rsidR="00414DDB" w:rsidRPr="00810FD7" w:rsidRDefault="00503CB7" w:rsidP="007F732D">
      <w:pPr>
        <w:autoSpaceDE w:val="0"/>
        <w:autoSpaceDN w:val="0"/>
        <w:adjustRightInd w:val="0"/>
        <w:snapToGrid w:val="0"/>
        <w:spacing w:line="400" w:lineRule="exact"/>
        <w:ind w:leftChars="236" w:left="846" w:hangingChars="100" w:hanging="280"/>
        <w:jc w:val="both"/>
        <w:rPr>
          <w:color w:val="0D0D0D" w:themeColor="text1" w:themeTint="F2"/>
          <w:sz w:val="28"/>
          <w:szCs w:val="28"/>
        </w:rPr>
      </w:pPr>
      <w:r w:rsidRPr="00810FD7">
        <w:rPr>
          <w:color w:val="0D0D0D" w:themeColor="text1" w:themeTint="F2"/>
          <w:sz w:val="28"/>
          <w:szCs w:val="28"/>
        </w:rPr>
        <w:t>(</w:t>
      </w:r>
      <w:r w:rsidRPr="00810FD7">
        <w:rPr>
          <w:rFonts w:hint="eastAsia"/>
          <w:color w:val="0D0D0D" w:themeColor="text1" w:themeTint="F2"/>
          <w:sz w:val="28"/>
          <w:szCs w:val="28"/>
        </w:rPr>
        <w:t>一</w:t>
      </w:r>
      <w:r w:rsidRPr="00810FD7">
        <w:rPr>
          <w:color w:val="0D0D0D" w:themeColor="text1" w:themeTint="F2"/>
          <w:sz w:val="28"/>
          <w:szCs w:val="28"/>
        </w:rPr>
        <w:t>)</w:t>
      </w:r>
      <w:r w:rsidR="00414DDB" w:rsidRPr="00810FD7">
        <w:rPr>
          <w:rFonts w:hint="eastAsia"/>
          <w:color w:val="0D0D0D" w:themeColor="text1" w:themeTint="F2"/>
          <w:sz w:val="28"/>
          <w:szCs w:val="28"/>
        </w:rPr>
        <w:t>年</w:t>
      </w:r>
      <w:r w:rsidR="00351168" w:rsidRPr="00810FD7">
        <w:rPr>
          <w:rFonts w:hint="eastAsia"/>
          <w:color w:val="0D0D0D" w:themeColor="text1" w:themeTint="F2"/>
          <w:sz w:val="28"/>
          <w:szCs w:val="28"/>
        </w:rPr>
        <w:t>底</w:t>
      </w:r>
      <w:r w:rsidR="00414DDB" w:rsidRPr="00810FD7">
        <w:rPr>
          <w:rFonts w:hint="eastAsia"/>
          <w:color w:val="0D0D0D" w:themeColor="text1" w:themeTint="F2"/>
          <w:sz w:val="28"/>
          <w:szCs w:val="28"/>
        </w:rPr>
        <w:t>人口數：當年</w:t>
      </w:r>
      <w:r w:rsidR="00351168" w:rsidRPr="00810FD7">
        <w:rPr>
          <w:rFonts w:hint="eastAsia"/>
          <w:color w:val="0D0D0D" w:themeColor="text1" w:themeTint="F2"/>
          <w:sz w:val="28"/>
          <w:szCs w:val="28"/>
        </w:rPr>
        <w:t>底</w:t>
      </w:r>
      <w:r w:rsidR="00414DDB" w:rsidRPr="00810FD7">
        <w:rPr>
          <w:rFonts w:hint="eastAsia"/>
          <w:color w:val="0D0D0D" w:themeColor="text1" w:themeTint="F2"/>
          <w:sz w:val="28"/>
          <w:szCs w:val="28"/>
        </w:rPr>
        <w:t>桃園</w:t>
      </w:r>
      <w:r w:rsidR="00FA0BDC" w:rsidRPr="00810FD7">
        <w:rPr>
          <w:rFonts w:hint="eastAsia"/>
          <w:color w:val="0D0D0D" w:themeColor="text1" w:themeTint="F2"/>
          <w:sz w:val="28"/>
          <w:szCs w:val="28"/>
        </w:rPr>
        <w:t>市</w:t>
      </w:r>
      <w:r w:rsidR="00414DDB" w:rsidRPr="00810FD7">
        <w:rPr>
          <w:rFonts w:hint="eastAsia"/>
          <w:color w:val="0D0D0D" w:themeColor="text1" w:themeTint="F2"/>
          <w:sz w:val="28"/>
          <w:szCs w:val="28"/>
        </w:rPr>
        <w:t>內人口統計總數。</w:t>
      </w:r>
    </w:p>
    <w:p w:rsidR="00F3735F" w:rsidRDefault="00224459" w:rsidP="00F3735F">
      <w:pPr>
        <w:spacing w:line="360" w:lineRule="exact"/>
        <w:ind w:left="1400" w:hangingChars="500" w:hanging="1400"/>
        <w:rPr>
          <w:rFonts w:hAnsi="新細明體" w:cs="新細明體"/>
          <w:kern w:val="0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="00F3735F">
        <w:rPr>
          <w:rFonts w:hint="eastAsia"/>
          <w:color w:val="0D0D0D" w:themeColor="text1" w:themeTint="F2"/>
          <w:sz w:val="28"/>
          <w:szCs w:val="28"/>
        </w:rPr>
        <w:t xml:space="preserve">  </w:t>
      </w:r>
      <w:r w:rsidRPr="00810FD7">
        <w:rPr>
          <w:rFonts w:hint="eastAsia"/>
          <w:color w:val="0D0D0D" w:themeColor="text1" w:themeTint="F2"/>
          <w:sz w:val="28"/>
          <w:szCs w:val="28"/>
        </w:rPr>
        <w:t xml:space="preserve"> (</w:t>
      </w:r>
      <w:r w:rsidR="00F3735F">
        <w:rPr>
          <w:rFonts w:hint="eastAsia"/>
          <w:color w:val="0D0D0D" w:themeColor="text1" w:themeTint="F2"/>
          <w:sz w:val="28"/>
          <w:szCs w:val="28"/>
        </w:rPr>
        <w:t>二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Pr="00F3735F">
        <w:rPr>
          <w:rFonts w:hint="eastAsia"/>
          <w:color w:val="0D0D0D" w:themeColor="text1" w:themeTint="F2"/>
          <w:sz w:val="28"/>
          <w:szCs w:val="28"/>
        </w:rPr>
        <w:t>總處理戶數：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已完成公共、專用污水下水道用戶接管戶數</w:t>
      </w:r>
    </w:p>
    <w:p w:rsidR="00224459" w:rsidRPr="00F3735F" w:rsidRDefault="00F3735F" w:rsidP="00F3735F">
      <w:pPr>
        <w:spacing w:line="360" w:lineRule="exact"/>
        <w:ind w:firstLineChars="400" w:firstLine="1120"/>
        <w:rPr>
          <w:rFonts w:hAnsi="新細明體" w:cs="新細明體"/>
          <w:kern w:val="0"/>
          <w:sz w:val="28"/>
          <w:szCs w:val="28"/>
        </w:rPr>
      </w:pPr>
      <w:r w:rsidRPr="00F3735F">
        <w:rPr>
          <w:rFonts w:hAnsi="新細明體" w:cs="新細明體" w:hint="eastAsia"/>
          <w:kern w:val="0"/>
          <w:sz w:val="28"/>
          <w:szCs w:val="28"/>
        </w:rPr>
        <w:t>及建築物污水處理設施設置戶。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三</w:t>
      </w:r>
      <w:r w:rsidRPr="00810FD7">
        <w:rPr>
          <w:rFonts w:hint="eastAsia"/>
          <w:color w:val="0D0D0D" w:themeColor="text1" w:themeTint="F2"/>
          <w:sz w:val="28"/>
          <w:szCs w:val="28"/>
        </w:rPr>
        <w:t>)用戶接管戶數：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已完成公共與專用污水下水道用戶接管之戶數，並以當年及歷年累計分別統計之。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四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公共污水下水道接管戶數：已完成公共污水下水道用戶接管之戶數，並以當年及歷年累計分別統計之。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五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021005" w:rsidRPr="00810FD7">
        <w:rPr>
          <w:rFonts w:hint="eastAsia"/>
          <w:color w:val="0D0D0D" w:themeColor="text1" w:themeTint="F2"/>
          <w:sz w:val="28"/>
          <w:szCs w:val="28"/>
        </w:rPr>
        <w:t>專用</w:t>
      </w:r>
      <w:r w:rsidRPr="00810FD7">
        <w:rPr>
          <w:rFonts w:hint="eastAsia"/>
          <w:color w:val="0D0D0D" w:themeColor="text1" w:themeTint="F2"/>
          <w:sz w:val="28"/>
          <w:szCs w:val="28"/>
        </w:rPr>
        <w:t>污水下水道：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專用污水下水道接管戶數：已完成專用污水下水道用戶接管之戶數，並以當年及歷年累計分別統計之。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六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建築物污水處理設施</w:t>
      </w:r>
      <w:r w:rsidR="009D303F">
        <w:rPr>
          <w:rFonts w:hAnsi="新細明體" w:cs="新細明體" w:hint="eastAsia"/>
          <w:kern w:val="0"/>
          <w:sz w:val="28"/>
          <w:szCs w:val="28"/>
        </w:rPr>
        <w:t>設置戶數：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係指依</w:t>
      </w:r>
      <w:r w:rsidR="00F3735F" w:rsidRPr="00F3735F">
        <w:rPr>
          <w:rFonts w:cs="新細明體" w:hint="eastAsia"/>
          <w:kern w:val="0"/>
          <w:sz w:val="28"/>
          <w:szCs w:val="28"/>
        </w:rPr>
        <w:t>88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年</w:t>
      </w:r>
      <w:r w:rsidR="00F3735F" w:rsidRPr="00F3735F">
        <w:rPr>
          <w:rFonts w:cs="新細明體" w:hint="eastAsia"/>
          <w:kern w:val="0"/>
          <w:sz w:val="28"/>
          <w:szCs w:val="28"/>
        </w:rPr>
        <w:t>1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月公布之「建築技術規則」應設置之設施</w:t>
      </w:r>
      <w:r w:rsidR="009D303F">
        <w:rPr>
          <w:rFonts w:hAnsi="新細明體" w:cs="新細明體" w:hint="eastAsia"/>
          <w:kern w:val="0"/>
          <w:sz w:val="28"/>
          <w:szCs w:val="28"/>
        </w:rPr>
        <w:t>設置戶數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。</w:t>
      </w:r>
    </w:p>
    <w:p w:rsidR="00414DDB" w:rsidRPr="00810FD7" w:rsidRDefault="00414DDB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lastRenderedPageBreak/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七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F3735F" w:rsidRPr="00F3735F">
        <w:rPr>
          <w:rFonts w:hAnsi="標楷體" w:hint="eastAsia"/>
          <w:kern w:val="0"/>
          <w:sz w:val="28"/>
          <w:szCs w:val="28"/>
        </w:rPr>
        <w:t>污水處理率：總處理戶數乘以戶量除以年底人口數之比率。並以歷年累計統計之。</w:t>
      </w:r>
    </w:p>
    <w:p w:rsidR="00F3735F" w:rsidRDefault="00345DDA" w:rsidP="00F3735F">
      <w:pPr>
        <w:spacing w:line="360" w:lineRule="exact"/>
        <w:ind w:left="560" w:hanging="308"/>
        <w:rPr>
          <w:rFonts w:hAnsi="標楷體"/>
          <w:kern w:val="0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 xml:space="preserve">  </w:t>
      </w:r>
      <w:r w:rsidR="00D055C9"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八</w:t>
      </w:r>
      <w:r w:rsidR="00D055C9"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F3735F" w:rsidRPr="00F3735F">
        <w:rPr>
          <w:rFonts w:hAnsi="標楷體" w:hint="eastAsia"/>
          <w:kern w:val="0"/>
          <w:sz w:val="28"/>
          <w:szCs w:val="28"/>
        </w:rPr>
        <w:t>公共污水下水道用戶接管普及率：公共污水下水道接管戶</w:t>
      </w:r>
    </w:p>
    <w:p w:rsidR="00D055C9" w:rsidRPr="00810FD7" w:rsidRDefault="00F3735F" w:rsidP="00F3735F">
      <w:pPr>
        <w:spacing w:line="360" w:lineRule="exact"/>
        <w:ind w:leftChars="100" w:left="240" w:firstLineChars="300" w:firstLine="840"/>
        <w:rPr>
          <w:color w:val="0D0D0D" w:themeColor="text1" w:themeTint="F2"/>
          <w:sz w:val="28"/>
          <w:szCs w:val="28"/>
        </w:rPr>
      </w:pPr>
      <w:r w:rsidRPr="00F3735F">
        <w:rPr>
          <w:rFonts w:hAnsi="標楷體" w:hint="eastAsia"/>
          <w:kern w:val="0"/>
          <w:sz w:val="28"/>
          <w:szCs w:val="28"/>
        </w:rPr>
        <w:t>數乘以戶量除以年底人口數之比率。並以歷年累計統計之。</w:t>
      </w:r>
    </w:p>
    <w:p w:rsidR="00503CB7" w:rsidRPr="00810FD7" w:rsidRDefault="00D055C9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F3735F">
        <w:rPr>
          <w:rFonts w:hint="eastAsia"/>
          <w:color w:val="0D0D0D" w:themeColor="text1" w:themeTint="F2"/>
          <w:sz w:val="28"/>
          <w:szCs w:val="28"/>
        </w:rPr>
        <w:t>九</w:t>
      </w:r>
      <w:r w:rsidRPr="00810FD7">
        <w:rPr>
          <w:rFonts w:hint="eastAsia"/>
          <w:color w:val="0D0D0D" w:themeColor="text1" w:themeTint="F2"/>
          <w:sz w:val="28"/>
          <w:szCs w:val="28"/>
        </w:rPr>
        <w:t>)</w:t>
      </w:r>
      <w:r w:rsidR="0077257C" w:rsidRPr="00810FD7">
        <w:rPr>
          <w:rFonts w:hint="eastAsia"/>
          <w:color w:val="0D0D0D" w:themeColor="text1" w:themeTint="F2"/>
          <w:sz w:val="28"/>
          <w:szCs w:val="28"/>
        </w:rPr>
        <w:t>全年污水處理總量：</w:t>
      </w:r>
      <w:r w:rsidR="009D303F">
        <w:rPr>
          <w:rFonts w:hAnsi="新細明體" w:cs="新細明體" w:hint="eastAsia"/>
          <w:kern w:val="0"/>
          <w:sz w:val="28"/>
          <w:szCs w:val="28"/>
        </w:rPr>
        <w:t>當年污水處理廠全年處理污水之總量</w:t>
      </w:r>
      <w:r w:rsidR="00F3735F" w:rsidRPr="00F3735F">
        <w:rPr>
          <w:rFonts w:hAnsi="新細明體" w:cs="新細明體" w:hint="eastAsia"/>
          <w:kern w:val="0"/>
          <w:sz w:val="28"/>
          <w:szCs w:val="28"/>
        </w:rPr>
        <w:t>。</w:t>
      </w:r>
    </w:p>
    <w:p w:rsidR="000354A9" w:rsidRPr="00810FD7" w:rsidRDefault="000354A9" w:rsidP="00ED40CC">
      <w:pPr>
        <w:spacing w:line="360" w:lineRule="exact"/>
        <w:ind w:leftChars="100" w:left="524" w:hanging="28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＊統計單位：</w:t>
      </w:r>
      <w:r w:rsidR="005A6F88" w:rsidRPr="00810FD7">
        <w:rPr>
          <w:rFonts w:hint="eastAsia"/>
          <w:color w:val="0D0D0D" w:themeColor="text1" w:themeTint="F2"/>
          <w:sz w:val="28"/>
          <w:szCs w:val="28"/>
        </w:rPr>
        <w:t>人</w:t>
      </w:r>
      <w:r w:rsidR="00E7668C" w:rsidRPr="00810FD7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5A6F88" w:rsidRPr="00810FD7">
        <w:rPr>
          <w:rFonts w:hint="eastAsia"/>
          <w:color w:val="0D0D0D" w:themeColor="text1" w:themeTint="F2"/>
          <w:sz w:val="28"/>
          <w:szCs w:val="28"/>
        </w:rPr>
        <w:t>戶</w:t>
      </w:r>
      <w:r w:rsidR="00E7668C" w:rsidRPr="00810FD7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9D303F">
        <w:rPr>
          <w:rFonts w:hAnsi="標楷體" w:hint="eastAsia"/>
          <w:color w:val="0D0D0D" w:themeColor="text1" w:themeTint="F2"/>
          <w:sz w:val="28"/>
          <w:szCs w:val="28"/>
        </w:rPr>
        <w:t>人/戶、</w:t>
      </w:r>
      <w:r w:rsidR="009D303F">
        <w:rPr>
          <w:rFonts w:hint="eastAsia"/>
          <w:color w:val="0D0D0D" w:themeColor="text1" w:themeTint="F2"/>
          <w:sz w:val="28"/>
          <w:szCs w:val="28"/>
        </w:rPr>
        <w:t>%</w:t>
      </w:r>
      <w:r w:rsidR="00E7668C" w:rsidRPr="00810FD7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E7668C" w:rsidRPr="00810FD7">
        <w:rPr>
          <w:rFonts w:hAnsi="標楷體"/>
          <w:color w:val="0D0D0D" w:themeColor="text1" w:themeTint="F2"/>
          <w:sz w:val="28"/>
          <w:szCs w:val="28"/>
        </w:rPr>
        <w:t>CMY</w:t>
      </w:r>
      <w:r w:rsidR="00E7668C" w:rsidRPr="00810FD7">
        <w:rPr>
          <w:rFonts w:hAnsi="標楷體" w:hint="eastAsia"/>
          <w:color w:val="0D0D0D" w:themeColor="text1" w:themeTint="F2"/>
          <w:sz w:val="28"/>
          <w:szCs w:val="28"/>
        </w:rPr>
        <w:t>(</w:t>
      </w:r>
      <w:r w:rsidR="005A6F88" w:rsidRPr="00810FD7">
        <w:rPr>
          <w:rFonts w:hint="eastAsia"/>
          <w:color w:val="0D0D0D" w:themeColor="text1" w:themeTint="F2"/>
          <w:sz w:val="28"/>
          <w:szCs w:val="28"/>
        </w:rPr>
        <w:t>立方公尺/每年)。</w:t>
      </w:r>
    </w:p>
    <w:p w:rsidR="000354A9" w:rsidRPr="00810FD7" w:rsidRDefault="000354A9" w:rsidP="000354A9">
      <w:pPr>
        <w:spacing w:line="360" w:lineRule="exact"/>
        <w:ind w:left="532" w:hanging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＊統計分類：</w:t>
      </w:r>
    </w:p>
    <w:p w:rsidR="005A6F88" w:rsidRPr="00810FD7" w:rsidRDefault="005A6F88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(一)縱行科目：分為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年底人口數</w:t>
      </w:r>
      <w:r w:rsidRPr="00810FD7">
        <w:rPr>
          <w:rFonts w:hint="eastAsia"/>
          <w:color w:val="0D0D0D" w:themeColor="text1" w:themeTint="F2"/>
          <w:sz w:val="28"/>
          <w:szCs w:val="28"/>
        </w:rPr>
        <w:t>、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總處理戶數</w:t>
      </w:r>
      <w:r w:rsidRPr="00810FD7">
        <w:rPr>
          <w:rFonts w:hint="eastAsia"/>
          <w:color w:val="0D0D0D" w:themeColor="text1" w:themeTint="F2"/>
          <w:sz w:val="28"/>
          <w:szCs w:val="28"/>
        </w:rPr>
        <w:t>、</w:t>
      </w:r>
      <w:r w:rsidR="00F3735F" w:rsidRPr="00F3735F">
        <w:rPr>
          <w:rFonts w:hAnsi="標楷體" w:cs="新細明體" w:hint="eastAsia"/>
          <w:color w:val="000000"/>
          <w:kern w:val="0"/>
          <w:sz w:val="28"/>
          <w:szCs w:val="28"/>
        </w:rPr>
        <w:t>用戶接管戶數</w:t>
      </w:r>
      <w:r w:rsidR="00F3735F" w:rsidRPr="00F3735F">
        <w:rPr>
          <w:rFonts w:hAnsi="標楷體" w:cs="新細明體" w:hint="eastAsia"/>
          <w:color w:val="FF0000"/>
          <w:kern w:val="0"/>
          <w:sz w:val="28"/>
          <w:szCs w:val="28"/>
        </w:rPr>
        <w:t>(</w:t>
      </w:r>
      <w:r w:rsidR="00F3735F" w:rsidRPr="00F3735F">
        <w:rPr>
          <w:rFonts w:hAnsi="標楷體" w:cs="新細明體" w:hint="eastAsia"/>
          <w:kern w:val="0"/>
          <w:sz w:val="28"/>
          <w:szCs w:val="28"/>
        </w:rPr>
        <w:t>含公共污水下水道接管戶數、專用污水下水道接管戶數)</w:t>
      </w:r>
      <w:r w:rsidRPr="00810FD7">
        <w:rPr>
          <w:rFonts w:hint="eastAsia"/>
          <w:color w:val="0D0D0D" w:themeColor="text1" w:themeTint="F2"/>
          <w:sz w:val="28"/>
          <w:szCs w:val="28"/>
        </w:rPr>
        <w:t>、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建築物污水處理設施設置戶、</w:t>
      </w:r>
      <w:r w:rsidR="00F3735F" w:rsidRPr="00F3735F">
        <w:rPr>
          <w:rFonts w:hAnsi="標楷體" w:hint="eastAsia"/>
          <w:kern w:val="0"/>
          <w:sz w:val="28"/>
          <w:szCs w:val="28"/>
        </w:rPr>
        <w:t>戶量、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污水處理率、公共污水下水道用戶接管普及率</w:t>
      </w:r>
      <w:r w:rsidR="00197E0B">
        <w:rPr>
          <w:rFonts w:hint="eastAsia"/>
          <w:color w:val="0D0D0D" w:themeColor="text1" w:themeTint="F2"/>
          <w:sz w:val="28"/>
          <w:szCs w:val="28"/>
        </w:rPr>
        <w:t>及</w:t>
      </w:r>
      <w:r w:rsidR="00046DB2" w:rsidRPr="00810FD7">
        <w:rPr>
          <w:rFonts w:hint="eastAsia"/>
          <w:color w:val="0D0D0D" w:themeColor="text1" w:themeTint="F2"/>
          <w:sz w:val="28"/>
          <w:szCs w:val="28"/>
        </w:rPr>
        <w:t>全年污水處理總量</w:t>
      </w:r>
      <w:r w:rsidRPr="00810FD7">
        <w:rPr>
          <w:rFonts w:hint="eastAsia"/>
          <w:color w:val="0D0D0D" w:themeColor="text1" w:themeTint="F2"/>
          <w:sz w:val="28"/>
          <w:szCs w:val="28"/>
        </w:rPr>
        <w:t>等</w:t>
      </w:r>
      <w:r w:rsidR="00197E0B">
        <w:rPr>
          <w:rFonts w:hint="eastAsia"/>
          <w:color w:val="0D0D0D" w:themeColor="text1" w:themeTint="F2"/>
          <w:sz w:val="28"/>
          <w:szCs w:val="28"/>
        </w:rPr>
        <w:t>9</w:t>
      </w:r>
      <w:r w:rsidRPr="00810FD7">
        <w:rPr>
          <w:rFonts w:hint="eastAsia"/>
          <w:color w:val="0D0D0D" w:themeColor="text1" w:themeTint="F2"/>
          <w:sz w:val="28"/>
          <w:szCs w:val="28"/>
        </w:rPr>
        <w:t>項。</w:t>
      </w:r>
    </w:p>
    <w:p w:rsidR="005A6F88" w:rsidRPr="00810FD7" w:rsidRDefault="005A6F88" w:rsidP="00AC1761">
      <w:pPr>
        <w:autoSpaceDE w:val="0"/>
        <w:autoSpaceDN w:val="0"/>
        <w:adjustRightInd w:val="0"/>
        <w:snapToGrid w:val="0"/>
        <w:spacing w:line="400" w:lineRule="exact"/>
        <w:ind w:leftChars="236" w:left="1126" w:hangingChars="200" w:hanging="560"/>
        <w:jc w:val="both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(二)</w:t>
      </w:r>
      <w:r w:rsidR="00B66AF4" w:rsidRPr="00810FD7">
        <w:rPr>
          <w:rFonts w:hint="eastAsia"/>
          <w:color w:val="0D0D0D" w:themeColor="text1" w:themeTint="F2"/>
          <w:sz w:val="28"/>
          <w:szCs w:val="28"/>
        </w:rPr>
        <w:t>橫列科目：以</w:t>
      </w:r>
      <w:r w:rsidR="008E40B1" w:rsidRPr="00810FD7">
        <w:rPr>
          <w:rFonts w:hint="eastAsia"/>
          <w:color w:val="0D0D0D" w:themeColor="text1" w:themeTint="F2"/>
          <w:sz w:val="28"/>
          <w:szCs w:val="28"/>
        </w:rPr>
        <w:t>區別分類</w:t>
      </w:r>
      <w:r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line="36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＊發布週期（指資料編製或產生之頻率，如月、季、年等）：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年。</w:t>
      </w:r>
      <w:r w:rsidRPr="00810FD7">
        <w:rPr>
          <w:color w:val="0D0D0D" w:themeColor="text1" w:themeTint="F2"/>
          <w:sz w:val="28"/>
          <w:szCs w:val="28"/>
        </w:rPr>
        <w:t xml:space="preserve"> </w:t>
      </w:r>
    </w:p>
    <w:p w:rsidR="000354A9" w:rsidRPr="00810FD7" w:rsidRDefault="000354A9" w:rsidP="00AC1761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＊時效（指統計標準時間至資料發布時間之間隔時間）：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2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個月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又5</w:t>
      </w:r>
      <w:r w:rsidR="00395DE5" w:rsidRPr="00810FD7">
        <w:rPr>
          <w:rFonts w:hint="eastAsia"/>
          <w:color w:val="0D0D0D" w:themeColor="text1" w:themeTint="F2"/>
          <w:sz w:val="28"/>
          <w:szCs w:val="28"/>
        </w:rPr>
        <w:t>日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A364A1">
      <w:pPr>
        <w:spacing w:line="400" w:lineRule="exact"/>
        <w:ind w:firstLine="28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＊資料變革：</w:t>
      </w:r>
      <w:r w:rsidR="00A364A1">
        <w:rPr>
          <w:rFonts w:hint="eastAsia"/>
          <w:color w:val="0D0D0D" w:themeColor="text1" w:themeTint="F2"/>
          <w:sz w:val="28"/>
          <w:szCs w:val="28"/>
        </w:rPr>
        <w:t>無</w:t>
      </w:r>
      <w:r w:rsidR="00433155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四、公開資料發布訊息</w:t>
      </w:r>
    </w:p>
    <w:p w:rsidR="000354A9" w:rsidRPr="00810FD7" w:rsidRDefault="000354A9" w:rsidP="000354A9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＊預告發布日期（含預告方式及週期）：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每年3月5日(遇假日順延)以公務統計報表及網路發布。</w:t>
      </w:r>
    </w:p>
    <w:p w:rsidR="000354A9" w:rsidRPr="00810FD7" w:rsidRDefault="000354A9" w:rsidP="000354A9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＊同步發送單位（說明資料發布時同步發送之單位或可同步查得該資料之網址）：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內政部營建署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、</w:t>
      </w:r>
      <w:r w:rsidR="0057445F" w:rsidRPr="00810FD7">
        <w:rPr>
          <w:rFonts w:hint="eastAsia"/>
          <w:color w:val="0D0D0D" w:themeColor="text1" w:themeTint="F2"/>
          <w:kern w:val="0"/>
          <w:sz w:val="28"/>
          <w:szCs w:val="28"/>
        </w:rPr>
        <w:t>桃園市</w:t>
      </w:r>
      <w:r w:rsidR="00E7668C" w:rsidRPr="00810FD7">
        <w:rPr>
          <w:rFonts w:hint="eastAsia"/>
          <w:color w:val="0D0D0D" w:themeColor="text1" w:themeTint="F2"/>
          <w:sz w:val="28"/>
          <w:szCs w:val="28"/>
        </w:rPr>
        <w:t>政府主計處</w:t>
      </w:r>
      <w:r w:rsidR="006338A3"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before="240" w:line="360" w:lineRule="exact"/>
        <w:ind w:left="616" w:hanging="616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五、資料品質</w:t>
      </w:r>
    </w:p>
    <w:p w:rsidR="000354A9" w:rsidRPr="00810FD7" w:rsidRDefault="000354A9" w:rsidP="00441857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＊統計指標編製方法與資料來源說明：</w:t>
      </w:r>
      <w:r w:rsidR="00C72F72" w:rsidRPr="00810FD7">
        <w:rPr>
          <w:rFonts w:hint="eastAsia"/>
          <w:color w:val="0D0D0D" w:themeColor="text1" w:themeTint="F2"/>
          <w:sz w:val="28"/>
          <w:szCs w:val="28"/>
        </w:rPr>
        <w:t>依相關工程資料彙整編製統計表</w:t>
      </w:r>
      <w:r w:rsidR="00334D35" w:rsidRPr="00810FD7">
        <w:rPr>
          <w:rFonts w:hint="eastAsia"/>
          <w:color w:val="0D0D0D" w:themeColor="text1" w:themeTint="F2"/>
          <w:sz w:val="28"/>
          <w:szCs w:val="28"/>
        </w:rPr>
        <w:t>。</w:t>
      </w:r>
    </w:p>
    <w:p w:rsidR="007333D9" w:rsidRPr="00810FD7" w:rsidRDefault="000354A9" w:rsidP="00441857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＊統計資料交叉查核及確保資料合理性之機制：</w:t>
      </w:r>
    </w:p>
    <w:p w:rsidR="007333D9" w:rsidRPr="00810FD7" w:rsidRDefault="007333D9" w:rsidP="00441857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(一)</w:t>
      </w:r>
      <w:r w:rsidR="00334D35" w:rsidRPr="00810FD7">
        <w:rPr>
          <w:rFonts w:hint="eastAsia"/>
          <w:color w:val="0D0D0D" w:themeColor="text1" w:themeTint="F2"/>
          <w:sz w:val="28"/>
          <w:szCs w:val="28"/>
        </w:rPr>
        <w:t>由水務</w:t>
      </w:r>
      <w:r w:rsidR="00334D35" w:rsidRPr="006D2B3D">
        <w:rPr>
          <w:rFonts w:hint="eastAsia"/>
          <w:color w:val="000000" w:themeColor="text1"/>
          <w:sz w:val="28"/>
          <w:szCs w:val="28"/>
        </w:rPr>
        <w:t>局</w:t>
      </w:r>
      <w:r w:rsidR="00F53FAE" w:rsidRPr="006D2B3D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污水</w:t>
      </w:r>
      <w:r w:rsidR="007A5115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設施管理</w:t>
      </w:r>
      <w:bookmarkStart w:id="0" w:name="_GoBack"/>
      <w:bookmarkEnd w:id="0"/>
      <w:r w:rsidR="002A2ACA">
        <w:rPr>
          <w:rFonts w:hAnsi="標楷體" w:cs="AdobeMingStd-Light" w:hint="eastAsia"/>
          <w:color w:val="000000" w:themeColor="text1"/>
          <w:kern w:val="0"/>
          <w:sz w:val="28"/>
          <w:szCs w:val="28"/>
        </w:rPr>
        <w:t>工程</w:t>
      </w:r>
      <w:r w:rsidR="00F53FAE" w:rsidRPr="006D2B3D">
        <w:rPr>
          <w:rFonts w:hAnsi="標楷體" w:hint="eastAsia"/>
          <w:color w:val="000000" w:themeColor="text1"/>
          <w:sz w:val="28"/>
          <w:szCs w:val="28"/>
        </w:rPr>
        <w:t>科</w:t>
      </w:r>
      <w:r w:rsidR="00334D35" w:rsidRPr="00810FD7">
        <w:rPr>
          <w:rFonts w:hint="eastAsia"/>
          <w:color w:val="0D0D0D" w:themeColor="text1" w:themeTint="F2"/>
          <w:sz w:val="28"/>
          <w:szCs w:val="28"/>
        </w:rPr>
        <w:t>編製、會計室人員複核，以確保資料之合</w:t>
      </w:r>
      <w:r w:rsidRPr="00810FD7">
        <w:rPr>
          <w:rFonts w:hint="eastAsia"/>
          <w:color w:val="0D0D0D" w:themeColor="text1" w:themeTint="F2"/>
          <w:sz w:val="28"/>
          <w:szCs w:val="28"/>
        </w:rPr>
        <w:t xml:space="preserve"> </w:t>
      </w:r>
    </w:p>
    <w:p w:rsidR="00A825F6" w:rsidRPr="00810FD7" w:rsidRDefault="007333D9" w:rsidP="006C710F">
      <w:pPr>
        <w:spacing w:line="360" w:lineRule="exact"/>
        <w:ind w:left="560" w:hanging="308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 xml:space="preserve">    </w:t>
      </w:r>
      <w:r w:rsidR="00334D35" w:rsidRPr="00810FD7">
        <w:rPr>
          <w:rFonts w:hint="eastAsia"/>
          <w:color w:val="0D0D0D" w:themeColor="text1" w:themeTint="F2"/>
          <w:sz w:val="28"/>
          <w:szCs w:val="28"/>
        </w:rPr>
        <w:t>理性。</w:t>
      </w:r>
    </w:p>
    <w:p w:rsidR="007333D9" w:rsidRPr="00810FD7" w:rsidRDefault="007333D9" w:rsidP="007333D9">
      <w:pPr>
        <w:tabs>
          <w:tab w:val="left" w:pos="8520"/>
        </w:tabs>
        <w:spacing w:line="360" w:lineRule="exact"/>
        <w:ind w:left="532" w:hanging="294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(</w:t>
      </w:r>
      <w:r w:rsidR="006C710F" w:rsidRPr="00810FD7">
        <w:rPr>
          <w:rFonts w:hint="eastAsia"/>
          <w:color w:val="0D0D0D" w:themeColor="text1" w:themeTint="F2"/>
          <w:sz w:val="28"/>
          <w:szCs w:val="28"/>
        </w:rPr>
        <w:t>二</w:t>
      </w:r>
      <w:r w:rsidRPr="00810FD7">
        <w:rPr>
          <w:rFonts w:hint="eastAsia"/>
          <w:color w:val="0D0D0D" w:themeColor="text1" w:themeTint="F2"/>
          <w:sz w:val="28"/>
          <w:szCs w:val="28"/>
        </w:rPr>
        <w:t>)總計項等於分類項之合。</w:t>
      </w:r>
    </w:p>
    <w:p w:rsidR="000354A9" w:rsidRPr="00810FD7" w:rsidRDefault="000354A9" w:rsidP="000354A9">
      <w:pPr>
        <w:spacing w:before="240" w:line="360" w:lineRule="exact"/>
        <w:ind w:left="600" w:hanging="60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六、須注意及預定改變之事項：無</w:t>
      </w:r>
      <w:r w:rsidR="00433155">
        <w:rPr>
          <w:rFonts w:hint="eastAsia"/>
          <w:color w:val="0D0D0D" w:themeColor="text1" w:themeTint="F2"/>
          <w:sz w:val="28"/>
          <w:szCs w:val="28"/>
        </w:rPr>
        <w:t>。</w:t>
      </w:r>
    </w:p>
    <w:p w:rsidR="000354A9" w:rsidRPr="00810FD7" w:rsidRDefault="000354A9" w:rsidP="000354A9">
      <w:pPr>
        <w:spacing w:before="240" w:line="360" w:lineRule="exact"/>
        <w:ind w:left="600" w:hanging="600"/>
        <w:rPr>
          <w:color w:val="0D0D0D" w:themeColor="text1" w:themeTint="F2"/>
          <w:sz w:val="28"/>
          <w:szCs w:val="28"/>
        </w:rPr>
      </w:pPr>
      <w:r w:rsidRPr="00810FD7">
        <w:rPr>
          <w:rFonts w:hint="eastAsia"/>
          <w:color w:val="0D0D0D" w:themeColor="text1" w:themeTint="F2"/>
          <w:sz w:val="28"/>
          <w:szCs w:val="28"/>
        </w:rPr>
        <w:t>七、其他事項：無</w:t>
      </w:r>
      <w:r w:rsidR="00433155">
        <w:rPr>
          <w:rFonts w:hint="eastAsia"/>
          <w:color w:val="0D0D0D" w:themeColor="text1" w:themeTint="F2"/>
          <w:sz w:val="28"/>
          <w:szCs w:val="28"/>
        </w:rPr>
        <w:t>。</w:t>
      </w:r>
    </w:p>
    <w:p w:rsidR="00C82C97" w:rsidRPr="00810FD7" w:rsidRDefault="00C82C97">
      <w:pPr>
        <w:rPr>
          <w:color w:val="0D0D0D" w:themeColor="text1" w:themeTint="F2"/>
          <w:sz w:val="28"/>
          <w:szCs w:val="28"/>
        </w:rPr>
      </w:pPr>
    </w:p>
    <w:sectPr w:rsidR="00C82C97" w:rsidRPr="00810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0D" w:rsidRDefault="00AC5B0D" w:rsidP="00B6142E">
      <w:r>
        <w:separator/>
      </w:r>
    </w:p>
  </w:endnote>
  <w:endnote w:type="continuationSeparator" w:id="0">
    <w:p w:rsidR="00AC5B0D" w:rsidRDefault="00AC5B0D" w:rsidP="00B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0D" w:rsidRDefault="00AC5B0D" w:rsidP="00B6142E">
      <w:r>
        <w:separator/>
      </w:r>
    </w:p>
  </w:footnote>
  <w:footnote w:type="continuationSeparator" w:id="0">
    <w:p w:rsidR="00AC5B0D" w:rsidRDefault="00AC5B0D" w:rsidP="00B6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CA"/>
    <w:rsid w:val="00011278"/>
    <w:rsid w:val="000166D6"/>
    <w:rsid w:val="00021005"/>
    <w:rsid w:val="000354A9"/>
    <w:rsid w:val="00046DB2"/>
    <w:rsid w:val="000C55F3"/>
    <w:rsid w:val="00137206"/>
    <w:rsid w:val="00161BF9"/>
    <w:rsid w:val="00184710"/>
    <w:rsid w:val="00187B26"/>
    <w:rsid w:val="00197E0B"/>
    <w:rsid w:val="001A553F"/>
    <w:rsid w:val="00224459"/>
    <w:rsid w:val="002270B4"/>
    <w:rsid w:val="002535BA"/>
    <w:rsid w:val="00275BD7"/>
    <w:rsid w:val="00284BEF"/>
    <w:rsid w:val="00286ED9"/>
    <w:rsid w:val="002A276D"/>
    <w:rsid w:val="002A2ACA"/>
    <w:rsid w:val="002B4805"/>
    <w:rsid w:val="00334D35"/>
    <w:rsid w:val="00345DDA"/>
    <w:rsid w:val="00351168"/>
    <w:rsid w:val="00357C2C"/>
    <w:rsid w:val="00395DE5"/>
    <w:rsid w:val="003C0CD5"/>
    <w:rsid w:val="00414DDB"/>
    <w:rsid w:val="00432DB6"/>
    <w:rsid w:val="00433155"/>
    <w:rsid w:val="00441857"/>
    <w:rsid w:val="004431BF"/>
    <w:rsid w:val="00445FE5"/>
    <w:rsid w:val="00455FF3"/>
    <w:rsid w:val="00456447"/>
    <w:rsid w:val="00473744"/>
    <w:rsid w:val="004861F7"/>
    <w:rsid w:val="004B6B04"/>
    <w:rsid w:val="004D65CF"/>
    <w:rsid w:val="004F4D04"/>
    <w:rsid w:val="00503CB7"/>
    <w:rsid w:val="0057445F"/>
    <w:rsid w:val="005A2443"/>
    <w:rsid w:val="005A6E01"/>
    <w:rsid w:val="005A6F88"/>
    <w:rsid w:val="005C2DEC"/>
    <w:rsid w:val="005D037E"/>
    <w:rsid w:val="005F4EFE"/>
    <w:rsid w:val="006338A3"/>
    <w:rsid w:val="00667667"/>
    <w:rsid w:val="00677CFD"/>
    <w:rsid w:val="00687AC5"/>
    <w:rsid w:val="006B2C52"/>
    <w:rsid w:val="006C710F"/>
    <w:rsid w:val="006C74AE"/>
    <w:rsid w:val="006D2B3D"/>
    <w:rsid w:val="006E5433"/>
    <w:rsid w:val="007333D9"/>
    <w:rsid w:val="007537E6"/>
    <w:rsid w:val="0077257C"/>
    <w:rsid w:val="00774009"/>
    <w:rsid w:val="007A2D91"/>
    <w:rsid w:val="007A5115"/>
    <w:rsid w:val="007C3F48"/>
    <w:rsid w:val="007C6F02"/>
    <w:rsid w:val="007F732D"/>
    <w:rsid w:val="00810FD7"/>
    <w:rsid w:val="008E40B1"/>
    <w:rsid w:val="00904020"/>
    <w:rsid w:val="00916104"/>
    <w:rsid w:val="00923B68"/>
    <w:rsid w:val="0093035D"/>
    <w:rsid w:val="009B24A3"/>
    <w:rsid w:val="009D183C"/>
    <w:rsid w:val="009D303F"/>
    <w:rsid w:val="00A35ACA"/>
    <w:rsid w:val="00A364A1"/>
    <w:rsid w:val="00A521BC"/>
    <w:rsid w:val="00A70DB1"/>
    <w:rsid w:val="00A825F6"/>
    <w:rsid w:val="00A94B51"/>
    <w:rsid w:val="00AB49B3"/>
    <w:rsid w:val="00AC1761"/>
    <w:rsid w:val="00AC5B0D"/>
    <w:rsid w:val="00B54353"/>
    <w:rsid w:val="00B56A55"/>
    <w:rsid w:val="00B6142E"/>
    <w:rsid w:val="00B620D8"/>
    <w:rsid w:val="00B66A0B"/>
    <w:rsid w:val="00B66AF4"/>
    <w:rsid w:val="00B801D0"/>
    <w:rsid w:val="00B9179A"/>
    <w:rsid w:val="00B96BD1"/>
    <w:rsid w:val="00BA4762"/>
    <w:rsid w:val="00C04A11"/>
    <w:rsid w:val="00C25389"/>
    <w:rsid w:val="00C32AAD"/>
    <w:rsid w:val="00C72F72"/>
    <w:rsid w:val="00C82C97"/>
    <w:rsid w:val="00CA14A8"/>
    <w:rsid w:val="00CC3A12"/>
    <w:rsid w:val="00CF3E12"/>
    <w:rsid w:val="00CF55FF"/>
    <w:rsid w:val="00D055C9"/>
    <w:rsid w:val="00D32159"/>
    <w:rsid w:val="00D36FBA"/>
    <w:rsid w:val="00D47890"/>
    <w:rsid w:val="00D55986"/>
    <w:rsid w:val="00D66B38"/>
    <w:rsid w:val="00D66F11"/>
    <w:rsid w:val="00DD46EF"/>
    <w:rsid w:val="00DE5873"/>
    <w:rsid w:val="00E2332A"/>
    <w:rsid w:val="00E31630"/>
    <w:rsid w:val="00E7668C"/>
    <w:rsid w:val="00E8144E"/>
    <w:rsid w:val="00EA2B62"/>
    <w:rsid w:val="00EC6056"/>
    <w:rsid w:val="00ED40CC"/>
    <w:rsid w:val="00F3735F"/>
    <w:rsid w:val="00F53FAE"/>
    <w:rsid w:val="00F63D50"/>
    <w:rsid w:val="00F83702"/>
    <w:rsid w:val="00FA0BDC"/>
    <w:rsid w:val="00FA6C90"/>
    <w:rsid w:val="00FA7C36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337"/>
    <o:shapelayout v:ext="edit">
      <o:idmap v:ext="edit" data="1"/>
    </o:shapelayout>
  </w:shapeDefaults>
  <w:decimalSymbol w:val="."/>
  <w:listSeparator w:val=","/>
  <w14:docId w14:val="57DA8566"/>
  <w15:docId w15:val="{4A721405-884D-4F84-9DA7-3E8C03E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A9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42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42E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B741-82A0-4B6E-9F87-122BA718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呂明茹</dc:creator>
  <cp:lastModifiedBy>彭譯葶</cp:lastModifiedBy>
  <cp:revision>7</cp:revision>
  <cp:lastPrinted>2014-09-16T03:19:00Z</cp:lastPrinted>
  <dcterms:created xsi:type="dcterms:W3CDTF">2016-12-28T10:11:00Z</dcterms:created>
  <dcterms:modified xsi:type="dcterms:W3CDTF">2021-08-25T08:44:00Z</dcterms:modified>
</cp:coreProperties>
</file>