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E66AC0" w:rsidRPr="00E66AC0" w:rsidTr="002549D9">
        <w:trPr>
          <w:trHeight w:val="13038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E11FC" w:rsidRPr="00E66AC0" w:rsidRDefault="005E11FC" w:rsidP="003E4914">
            <w:pPr>
              <w:spacing w:line="360" w:lineRule="exact"/>
              <w:jc w:val="center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統計資料背景說明</w:t>
            </w:r>
          </w:p>
          <w:p w:rsidR="005E11FC" w:rsidRPr="00E66AC0" w:rsidRDefault="005E11FC" w:rsidP="003E4914">
            <w:pPr>
              <w:spacing w:line="360" w:lineRule="exact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資料種類：</w:t>
            </w:r>
            <w:r w:rsidR="00511DCE" w:rsidRPr="00E66AC0">
              <w:rPr>
                <w:rFonts w:hint="eastAsia"/>
                <w:szCs w:val="24"/>
              </w:rPr>
              <w:t>營造業及建築</w:t>
            </w:r>
            <w:r w:rsidR="00A83968" w:rsidRPr="00E66AC0">
              <w:rPr>
                <w:rFonts w:hint="eastAsia"/>
                <w:szCs w:val="24"/>
              </w:rPr>
              <w:t>統計</w:t>
            </w:r>
          </w:p>
          <w:p w:rsidR="005E11FC" w:rsidRPr="00E66AC0" w:rsidRDefault="005E11FC" w:rsidP="003E4914">
            <w:pPr>
              <w:spacing w:line="360" w:lineRule="exact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資料項目：</w:t>
            </w:r>
            <w:r w:rsidR="00502CA7" w:rsidRPr="00E66AC0">
              <w:rPr>
                <w:szCs w:val="24"/>
              </w:rPr>
              <w:t>桃園市現有</w:t>
            </w:r>
            <w:r w:rsidR="00502CA7" w:rsidRPr="00E66AC0">
              <w:rPr>
                <w:rFonts w:hint="eastAsia"/>
                <w:szCs w:val="24"/>
              </w:rPr>
              <w:t>主要</w:t>
            </w:r>
            <w:r w:rsidR="00502CA7" w:rsidRPr="00E66AC0">
              <w:rPr>
                <w:szCs w:val="24"/>
              </w:rPr>
              <w:t>交通設施數量</w:t>
            </w:r>
          </w:p>
          <w:p w:rsidR="005E11FC" w:rsidRPr="00E66AC0" w:rsidRDefault="005E11FC" w:rsidP="00502CA7">
            <w:pPr>
              <w:spacing w:line="360" w:lineRule="exact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一、發布及編製機關單位</w:t>
            </w:r>
          </w:p>
          <w:p w:rsidR="005E11FC" w:rsidRPr="00E66AC0" w:rsidRDefault="005E11FC" w:rsidP="003E4914">
            <w:pPr>
              <w:spacing w:line="360" w:lineRule="exact"/>
              <w:ind w:left="720" w:hanging="426"/>
              <w:jc w:val="both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發布機關、單位：桃園</w:t>
            </w:r>
            <w:r w:rsidR="005202A3" w:rsidRPr="00E66AC0">
              <w:rPr>
                <w:rFonts w:hint="eastAsia"/>
                <w:szCs w:val="24"/>
              </w:rPr>
              <w:t>市</w:t>
            </w:r>
            <w:r w:rsidRPr="00E66AC0">
              <w:rPr>
                <w:rFonts w:hint="eastAsia"/>
                <w:szCs w:val="24"/>
              </w:rPr>
              <w:t>政府交通局會計室</w:t>
            </w:r>
          </w:p>
          <w:p w:rsidR="005E11FC" w:rsidRPr="00E66AC0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編製單位：桃園</w:t>
            </w:r>
            <w:r w:rsidR="005202A3" w:rsidRPr="00E66AC0">
              <w:rPr>
                <w:rFonts w:hint="eastAsia"/>
                <w:szCs w:val="24"/>
              </w:rPr>
              <w:t>市</w:t>
            </w:r>
            <w:r w:rsidRPr="00E66AC0">
              <w:rPr>
                <w:rFonts w:hint="eastAsia"/>
                <w:szCs w:val="24"/>
              </w:rPr>
              <w:t>政府交通局</w:t>
            </w:r>
            <w:r w:rsidR="00502CA7" w:rsidRPr="00E66AC0">
              <w:rPr>
                <w:rFonts w:ascii="Times New Roman" w:hAnsi="Times New Roman" w:hint="eastAsia"/>
              </w:rPr>
              <w:t>運輸資訊中心</w:t>
            </w:r>
          </w:p>
          <w:p w:rsidR="005E11FC" w:rsidRPr="00E66AC0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聯絡電話：(03)</w:t>
            </w:r>
            <w:r w:rsidR="00812DFC" w:rsidRPr="00E66AC0">
              <w:rPr>
                <w:rFonts w:hint="eastAsia"/>
                <w:szCs w:val="24"/>
              </w:rPr>
              <w:t>3322101分機68</w:t>
            </w:r>
            <w:r w:rsidR="004B4C19" w:rsidRPr="00E66AC0">
              <w:rPr>
                <w:rFonts w:hint="eastAsia"/>
                <w:szCs w:val="24"/>
              </w:rPr>
              <w:t>70</w:t>
            </w:r>
          </w:p>
          <w:p w:rsidR="005E11FC" w:rsidRPr="00E66AC0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傳真：03-</w:t>
            </w:r>
            <w:r w:rsidRPr="00E66AC0">
              <w:rPr>
                <w:szCs w:val="24"/>
              </w:rPr>
              <w:t>3</w:t>
            </w:r>
            <w:r w:rsidR="00812DFC" w:rsidRPr="00E66AC0">
              <w:rPr>
                <w:rFonts w:hint="eastAsia"/>
                <w:szCs w:val="24"/>
              </w:rPr>
              <w:t>0</w:t>
            </w:r>
            <w:r w:rsidR="004B4C19" w:rsidRPr="00E66AC0">
              <w:rPr>
                <w:rFonts w:hint="eastAsia"/>
                <w:szCs w:val="24"/>
              </w:rPr>
              <w:t>10020</w:t>
            </w:r>
          </w:p>
          <w:p w:rsidR="005E11FC" w:rsidRPr="00E66AC0" w:rsidRDefault="005E11FC" w:rsidP="005E11FC">
            <w:pPr>
              <w:spacing w:line="360" w:lineRule="exact"/>
              <w:ind w:left="720" w:hanging="426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電子信箱：</w:t>
            </w:r>
            <w:r w:rsidR="00B70309" w:rsidRPr="00E66AC0">
              <w:rPr>
                <w:rFonts w:hint="eastAsia"/>
                <w:szCs w:val="24"/>
              </w:rPr>
              <w:t>80033382@mail.tycg.gov.tw</w:t>
            </w:r>
          </w:p>
          <w:p w:rsidR="005E11FC" w:rsidRPr="00E66AC0" w:rsidRDefault="005E11FC" w:rsidP="003E4914">
            <w:pPr>
              <w:spacing w:line="360" w:lineRule="exact"/>
              <w:ind w:left="540" w:hanging="540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二、發布形式</w:t>
            </w:r>
          </w:p>
          <w:p w:rsidR="005E11FC" w:rsidRPr="00E66AC0" w:rsidRDefault="005E11FC" w:rsidP="003E491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口頭：</w:t>
            </w:r>
          </w:p>
          <w:p w:rsidR="005E11FC" w:rsidRPr="00E66AC0" w:rsidRDefault="005E11FC" w:rsidP="003E4914">
            <w:pPr>
              <w:spacing w:line="360" w:lineRule="exact"/>
              <w:jc w:val="both"/>
              <w:rPr>
                <w:szCs w:val="24"/>
              </w:rPr>
            </w:pPr>
            <w:r w:rsidRPr="00E66AC0">
              <w:rPr>
                <w:szCs w:val="24"/>
              </w:rPr>
              <w:t xml:space="preserve">         </w:t>
            </w:r>
            <w:r w:rsidRPr="00E66AC0">
              <w:rPr>
                <w:rFonts w:hint="eastAsia"/>
                <w:szCs w:val="24"/>
              </w:rPr>
              <w:t>（ ）記者會或說明會</w:t>
            </w:r>
          </w:p>
          <w:p w:rsidR="005E11FC" w:rsidRPr="00E66AC0" w:rsidRDefault="005E11FC" w:rsidP="003E491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書面：</w:t>
            </w:r>
          </w:p>
          <w:p w:rsidR="005E11FC" w:rsidRPr="00E66AC0" w:rsidRDefault="005E11FC" w:rsidP="003E4914">
            <w:pPr>
              <w:spacing w:line="360" w:lineRule="exact"/>
              <w:ind w:left="294"/>
              <w:jc w:val="both"/>
              <w:rPr>
                <w:szCs w:val="24"/>
              </w:rPr>
            </w:pPr>
            <w:r w:rsidRPr="00E66AC0">
              <w:rPr>
                <w:szCs w:val="24"/>
              </w:rPr>
              <w:t xml:space="preserve">       </w:t>
            </w:r>
            <w:r w:rsidRPr="00E66AC0">
              <w:rPr>
                <w:rFonts w:hint="eastAsia"/>
                <w:szCs w:val="24"/>
              </w:rPr>
              <w:t>（</w:t>
            </w:r>
            <w:r w:rsidRPr="00E66AC0">
              <w:rPr>
                <w:szCs w:val="24"/>
              </w:rPr>
              <w:t xml:space="preserve"> </w:t>
            </w:r>
            <w:r w:rsidRPr="00E66AC0">
              <w:rPr>
                <w:rFonts w:hint="eastAsia"/>
                <w:szCs w:val="24"/>
              </w:rPr>
              <w:t>）新聞稿</w:t>
            </w:r>
            <w:r w:rsidRPr="00E66AC0">
              <w:rPr>
                <w:szCs w:val="24"/>
              </w:rPr>
              <w:t xml:space="preserve">   </w:t>
            </w:r>
            <w:r w:rsidRPr="00E66AC0">
              <w:rPr>
                <w:rFonts w:hint="eastAsia"/>
                <w:szCs w:val="24"/>
              </w:rPr>
              <w:t>（</w:t>
            </w:r>
            <w:r w:rsidR="00B306A0" w:rsidRPr="00E66AC0">
              <w:rPr>
                <w:rFonts w:hint="eastAsia"/>
                <w:szCs w:val="24"/>
              </w:rPr>
              <w:t xml:space="preserve"> </w:t>
            </w:r>
            <w:r w:rsidRPr="00E66AC0">
              <w:rPr>
                <w:rFonts w:hint="eastAsia"/>
                <w:szCs w:val="24"/>
              </w:rPr>
              <w:t>）報表  （ ）書刊，刊名：</w:t>
            </w:r>
          </w:p>
          <w:p w:rsidR="005E11FC" w:rsidRPr="00E66AC0" w:rsidRDefault="005E11FC" w:rsidP="003E4914">
            <w:pPr>
              <w:spacing w:line="360" w:lineRule="exact"/>
              <w:ind w:left="294"/>
              <w:jc w:val="both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電子媒體：</w:t>
            </w:r>
          </w:p>
          <w:p w:rsidR="005E11FC" w:rsidRPr="00E66AC0" w:rsidRDefault="005E11FC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（</w:t>
            </w:r>
            <w:r w:rsidR="00267CE8" w:rsidRPr="00E66AC0">
              <w:rPr>
                <w:rFonts w:hint="eastAsia"/>
                <w:szCs w:val="24"/>
              </w:rPr>
              <w:t xml:space="preserve"> </w:t>
            </w:r>
            <w:r w:rsidRPr="00E66AC0">
              <w:rPr>
                <w:rFonts w:hint="eastAsia"/>
                <w:szCs w:val="24"/>
              </w:rPr>
              <w:t>）</w:t>
            </w:r>
            <w:proofErr w:type="gramStart"/>
            <w:r w:rsidRPr="00E66AC0">
              <w:rPr>
                <w:rFonts w:hint="eastAsia"/>
                <w:szCs w:val="24"/>
              </w:rPr>
              <w:t>線上書刊</w:t>
            </w:r>
            <w:proofErr w:type="gramEnd"/>
            <w:r w:rsidRPr="00E66AC0">
              <w:rPr>
                <w:rFonts w:hint="eastAsia"/>
                <w:szCs w:val="24"/>
              </w:rPr>
              <w:t>及資料庫，網址：</w:t>
            </w:r>
          </w:p>
          <w:p w:rsidR="00B306A0" w:rsidRPr="00E66AC0" w:rsidRDefault="005E11FC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（</w:t>
            </w:r>
            <w:r w:rsidRPr="00E66AC0">
              <w:rPr>
                <w:szCs w:val="24"/>
              </w:rPr>
              <w:t xml:space="preserve"> </w:t>
            </w:r>
            <w:r w:rsidRPr="00E66AC0">
              <w:rPr>
                <w:rFonts w:hint="eastAsia"/>
                <w:szCs w:val="24"/>
              </w:rPr>
              <w:t>）磁片</w:t>
            </w:r>
            <w:r w:rsidRPr="00E66AC0">
              <w:rPr>
                <w:szCs w:val="24"/>
              </w:rPr>
              <w:t xml:space="preserve">   </w:t>
            </w:r>
            <w:r w:rsidRPr="00E66AC0">
              <w:rPr>
                <w:rFonts w:hint="eastAsia"/>
                <w:szCs w:val="24"/>
              </w:rPr>
              <w:t>（</w:t>
            </w:r>
            <w:r w:rsidRPr="00E66AC0">
              <w:rPr>
                <w:szCs w:val="24"/>
              </w:rPr>
              <w:t xml:space="preserve"> </w:t>
            </w:r>
            <w:r w:rsidRPr="00E66AC0">
              <w:rPr>
                <w:rFonts w:hint="eastAsia"/>
                <w:szCs w:val="24"/>
              </w:rPr>
              <w:t>）光碟片</w:t>
            </w:r>
            <w:r w:rsidRPr="00E66AC0">
              <w:rPr>
                <w:szCs w:val="24"/>
              </w:rPr>
              <w:t xml:space="preserve">  </w:t>
            </w:r>
            <w:r w:rsidRPr="00E66AC0">
              <w:rPr>
                <w:rFonts w:hint="eastAsia"/>
                <w:szCs w:val="24"/>
              </w:rPr>
              <w:t>（</w:t>
            </w:r>
            <w:r w:rsidR="00B306A0" w:rsidRPr="00E66AC0">
              <w:rPr>
                <w:rFonts w:hint="eastAsia"/>
                <w:szCs w:val="24"/>
              </w:rPr>
              <w:t>v</w:t>
            </w:r>
            <w:r w:rsidRPr="00E66AC0">
              <w:rPr>
                <w:rFonts w:hint="eastAsia"/>
                <w:szCs w:val="24"/>
              </w:rPr>
              <w:t>）其他</w:t>
            </w:r>
          </w:p>
          <w:p w:rsidR="005E11FC" w:rsidRPr="00E66AC0" w:rsidRDefault="00B306A0" w:rsidP="003E4914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r w:rsidRPr="00E66AC0">
              <w:rPr>
                <w:rFonts w:hint="eastAsia"/>
                <w:kern w:val="0"/>
                <w:szCs w:val="24"/>
              </w:rPr>
              <w:t>Open Document File (</w:t>
            </w:r>
            <w:proofErr w:type="spellStart"/>
            <w:r w:rsidRPr="00E66AC0">
              <w:rPr>
                <w:rFonts w:hint="eastAsia"/>
                <w:kern w:val="0"/>
                <w:szCs w:val="24"/>
              </w:rPr>
              <w:t>odf</w:t>
            </w:r>
            <w:proofErr w:type="spellEnd"/>
            <w:r w:rsidRPr="00E66AC0">
              <w:rPr>
                <w:rFonts w:hint="eastAsia"/>
                <w:kern w:val="0"/>
                <w:szCs w:val="24"/>
              </w:rPr>
              <w:t>)</w:t>
            </w:r>
            <w:r w:rsidRPr="00E66AC0">
              <w:rPr>
                <w:rFonts w:hAnsi="標楷體" w:hint="eastAsia"/>
                <w:kern w:val="0"/>
                <w:szCs w:val="24"/>
              </w:rPr>
              <w:t>、</w:t>
            </w:r>
            <w:r w:rsidRPr="00E66AC0">
              <w:rPr>
                <w:rFonts w:hint="eastAsia"/>
                <w:kern w:val="0"/>
                <w:szCs w:val="24"/>
              </w:rPr>
              <w:t xml:space="preserve">Portable Document Format (pdf) </w:t>
            </w:r>
            <w:r w:rsidRPr="00E66AC0">
              <w:rPr>
                <w:rFonts w:hAnsi="標楷體" w:hint="eastAsia"/>
                <w:kern w:val="0"/>
                <w:szCs w:val="24"/>
              </w:rPr>
              <w:t>或</w:t>
            </w:r>
            <w:r w:rsidRPr="00E66AC0">
              <w:rPr>
                <w:rFonts w:hint="eastAsia"/>
                <w:kern w:val="0"/>
                <w:szCs w:val="24"/>
              </w:rPr>
              <w:t>Excel</w:t>
            </w:r>
            <w:r w:rsidRPr="00E66AC0">
              <w:rPr>
                <w:rFonts w:hAnsi="標楷體" w:hint="eastAsia"/>
                <w:kern w:val="0"/>
                <w:szCs w:val="24"/>
              </w:rPr>
              <w:t>檔案。</w:t>
            </w:r>
          </w:p>
          <w:p w:rsidR="005E11FC" w:rsidRPr="00E66AC0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三、資料範圍、週期及時效</w:t>
            </w:r>
          </w:p>
          <w:p w:rsidR="005E11FC" w:rsidRPr="00E66AC0" w:rsidRDefault="005E11FC" w:rsidP="008C297D">
            <w:pPr>
              <w:spacing w:line="360" w:lineRule="exact"/>
              <w:ind w:leftChars="118" w:left="2966" w:hangingChars="1118" w:hanging="2683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統計地區範圍及對象：</w:t>
            </w:r>
            <w:r w:rsidR="00B70309" w:rsidRPr="00E66AC0">
              <w:rPr>
                <w:rFonts w:ascii="Times New Roman" w:hAnsi="Times New Roman"/>
              </w:rPr>
              <w:t>凡桃園市</w:t>
            </w:r>
            <w:r w:rsidR="00B70309" w:rsidRPr="00E66AC0">
              <w:rPr>
                <w:rFonts w:ascii="Times New Roman" w:hAnsi="Times New Roman" w:hint="eastAsia"/>
              </w:rPr>
              <w:t>區</w:t>
            </w:r>
            <w:r w:rsidR="00B70309" w:rsidRPr="00E66AC0">
              <w:rPr>
                <w:rFonts w:ascii="Times New Roman" w:hAnsi="Times New Roman"/>
              </w:rPr>
              <w:t>現有</w:t>
            </w:r>
            <w:r w:rsidR="00B70309" w:rsidRPr="00E66AC0">
              <w:rPr>
                <w:rFonts w:ascii="Times New Roman" w:hAnsi="Times New Roman" w:hint="eastAsia"/>
              </w:rPr>
              <w:t>主要</w:t>
            </w:r>
            <w:r w:rsidR="00B70309" w:rsidRPr="00E66AC0">
              <w:rPr>
                <w:rFonts w:ascii="Times New Roman" w:hAnsi="Times New Roman"/>
              </w:rPr>
              <w:t>交通設施</w:t>
            </w:r>
            <w:r w:rsidR="00B70309" w:rsidRPr="00E66AC0">
              <w:rPr>
                <w:rFonts w:ascii="Times New Roman" w:hAnsi="Times New Roman" w:hint="eastAsia"/>
              </w:rPr>
              <w:t>皆</w:t>
            </w:r>
            <w:r w:rsidR="00B70309" w:rsidRPr="00E66AC0">
              <w:rPr>
                <w:rFonts w:ascii="Times New Roman" w:hAnsi="Times New Roman"/>
              </w:rPr>
              <w:t>為統計對象。</w:t>
            </w:r>
          </w:p>
          <w:p w:rsidR="005E11FC" w:rsidRPr="00E66AC0" w:rsidRDefault="005E11FC" w:rsidP="005E11FC">
            <w:pPr>
              <w:spacing w:line="360" w:lineRule="exact"/>
              <w:ind w:firstLine="280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統計標準時間：</w:t>
            </w:r>
            <w:r w:rsidR="00DD2520" w:rsidRPr="00E66AC0">
              <w:rPr>
                <w:rFonts w:ascii="Times New Roman" w:hAnsi="Times New Roman" w:hint="eastAsia"/>
              </w:rPr>
              <w:t>累計</w:t>
            </w:r>
            <w:r w:rsidR="00DD2520" w:rsidRPr="00E66AC0">
              <w:rPr>
                <w:rFonts w:ascii="Times New Roman" w:hAnsi="Times New Roman"/>
              </w:rPr>
              <w:t>以每月月底之事實為</w:t>
            </w:r>
            <w:proofErr w:type="gramStart"/>
            <w:r w:rsidR="00DD2520" w:rsidRPr="00E66AC0">
              <w:rPr>
                <w:rFonts w:ascii="Times New Roman" w:hAnsi="Times New Roman"/>
              </w:rPr>
              <w:t>準</w:t>
            </w:r>
            <w:proofErr w:type="gramEnd"/>
            <w:r w:rsidR="00DD2520" w:rsidRPr="00E66AC0">
              <w:rPr>
                <w:rFonts w:ascii="Times New Roman" w:hAnsi="Times New Roman" w:hint="eastAsia"/>
              </w:rPr>
              <w:t>，本期增減數</w:t>
            </w:r>
            <w:r w:rsidR="00DD2520" w:rsidRPr="00E66AC0">
              <w:rPr>
                <w:rFonts w:ascii="Times New Roman" w:hAnsi="Times New Roman"/>
              </w:rPr>
              <w:t>以每月</w:t>
            </w:r>
            <w:r w:rsidR="00DD2520" w:rsidRPr="00E66AC0">
              <w:rPr>
                <w:rFonts w:ascii="Times New Roman" w:hAnsi="Times New Roman"/>
              </w:rPr>
              <w:t>1</w:t>
            </w:r>
            <w:r w:rsidR="00DD2520" w:rsidRPr="00E66AC0">
              <w:rPr>
                <w:rFonts w:ascii="Times New Roman" w:hAnsi="Times New Roman"/>
              </w:rPr>
              <w:t>日至月底之事實為</w:t>
            </w:r>
            <w:proofErr w:type="gramStart"/>
            <w:r w:rsidR="00DD2520" w:rsidRPr="00E66AC0">
              <w:rPr>
                <w:rFonts w:ascii="Times New Roman" w:hAnsi="Times New Roman"/>
              </w:rPr>
              <w:t>準</w:t>
            </w:r>
            <w:proofErr w:type="gramEnd"/>
            <w:r w:rsidR="00DD2520" w:rsidRPr="00E66AC0">
              <w:rPr>
                <w:rFonts w:ascii="Times New Roman" w:hAnsi="Times New Roman"/>
              </w:rPr>
              <w:t>。</w:t>
            </w:r>
          </w:p>
          <w:p w:rsidR="005E11FC" w:rsidRPr="00E66AC0" w:rsidRDefault="005E11FC" w:rsidP="005E11FC">
            <w:pPr>
              <w:spacing w:line="360" w:lineRule="exact"/>
              <w:ind w:leftChars="119" w:left="526" w:hangingChars="100" w:hanging="240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統計項目定義：</w:t>
            </w:r>
          </w:p>
          <w:p w:rsidR="00B70309" w:rsidRPr="00E66AC0" w:rsidRDefault="00502CA7" w:rsidP="001033BD">
            <w:pPr>
              <w:ind w:leftChars="376" w:left="2743" w:hangingChars="767" w:hanging="1841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proofErr w:type="gramStart"/>
            <w:r w:rsidRPr="00E66AC0">
              <w:rPr>
                <w:rFonts w:ascii="Times New Roman" w:hAnsi="Times New Roman"/>
              </w:rPr>
              <w:t>一</w:t>
            </w:r>
            <w:proofErr w:type="gramEnd"/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機車優先道：查道路交通標誌標線號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設置</w:t>
            </w:r>
            <w:proofErr w:type="gramStart"/>
            <w:r w:rsidRPr="00E66AC0">
              <w:rPr>
                <w:rFonts w:ascii="Times New Roman" w:hAnsi="Times New Roman"/>
              </w:rPr>
              <w:t>規則第</w:t>
            </w:r>
            <w:r w:rsidRPr="00E66AC0">
              <w:rPr>
                <w:rFonts w:ascii="Times New Roman" w:hAnsi="Times New Roman"/>
              </w:rPr>
              <w:t>174</w:t>
            </w:r>
            <w:proofErr w:type="gramEnd"/>
            <w:r w:rsidRPr="00E66AC0">
              <w:rPr>
                <w:rFonts w:ascii="Times New Roman" w:hAnsi="Times New Roman"/>
              </w:rPr>
              <w:t>-1</w:t>
            </w:r>
            <w:r w:rsidRPr="00E66AC0">
              <w:rPr>
                <w:rFonts w:ascii="Times New Roman" w:hAnsi="Times New Roman"/>
              </w:rPr>
              <w:t>條機器腳踏車優先車道標線，用以指示汽缸總排氣量未滿五百五十立方</w:t>
            </w:r>
            <w:proofErr w:type="gramStart"/>
            <w:r w:rsidRPr="00E66AC0">
              <w:rPr>
                <w:rFonts w:ascii="Times New Roman" w:hAnsi="Times New Roman"/>
              </w:rPr>
              <w:t>公分之</w:t>
            </w:r>
            <w:proofErr w:type="gramEnd"/>
            <w:r w:rsidRPr="00E66AC0">
              <w:rPr>
                <w:rFonts w:ascii="Times New Roman" w:hAnsi="Times New Roman"/>
              </w:rPr>
              <w:t>機器腳踏車優先行駛之車道，其他車種除起步、準備停車、臨時停車或轉向外，不得橫跨或占用行駛。</w:t>
            </w:r>
          </w:p>
          <w:p w:rsidR="00502CA7" w:rsidRPr="00E66AC0" w:rsidRDefault="00502CA7" w:rsidP="001033BD">
            <w:pPr>
              <w:ind w:leftChars="376" w:left="2743" w:hangingChars="767" w:hanging="1841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二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機車專用道：查該規則第</w:t>
            </w:r>
            <w:r w:rsidRPr="00E66AC0">
              <w:rPr>
                <w:rFonts w:ascii="Times New Roman" w:hAnsi="Times New Roman"/>
              </w:rPr>
              <w:t>174</w:t>
            </w:r>
            <w:r w:rsidRPr="00E66AC0">
              <w:rPr>
                <w:rFonts w:ascii="Times New Roman" w:hAnsi="Times New Roman"/>
              </w:rPr>
              <w:t>條車種專用車道標線，用以指示僅限於某車種行駛之專用車道，其他車種及行人不得進入。故機車專用道僅供汽缸總排氣量未滿五百五十立方</w:t>
            </w:r>
            <w:proofErr w:type="gramStart"/>
            <w:r w:rsidRPr="00E66AC0">
              <w:rPr>
                <w:rFonts w:ascii="Times New Roman" w:hAnsi="Times New Roman"/>
              </w:rPr>
              <w:t>公分之</w:t>
            </w:r>
            <w:proofErr w:type="gramEnd"/>
            <w:r w:rsidRPr="00E66AC0">
              <w:rPr>
                <w:rFonts w:ascii="Times New Roman" w:hAnsi="Times New Roman"/>
              </w:rPr>
              <w:t>機器腳踏車行駛。</w:t>
            </w:r>
          </w:p>
          <w:p w:rsidR="00502CA7" w:rsidRPr="00E66AC0" w:rsidRDefault="00502CA7" w:rsidP="001033BD">
            <w:pPr>
              <w:ind w:leftChars="376" w:left="2460" w:hangingChars="649" w:hanging="1558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三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調撥車道：為紓解尖峰時段交通流量，將來</w:t>
            </w: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去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向車流較少之部分車道，於尖峰時段劃為車流較多之去</w:t>
            </w: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來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向車道。</w:t>
            </w:r>
          </w:p>
          <w:p w:rsidR="00B70309" w:rsidRPr="00E66AC0" w:rsidRDefault="00502CA7" w:rsidP="00B70309">
            <w:pPr>
              <w:ind w:leftChars="375" w:left="900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四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交通號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：指紅、黃、綠三色號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，及特種閃光號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。</w:t>
            </w:r>
          </w:p>
          <w:p w:rsidR="00B70309" w:rsidRPr="00E66AC0" w:rsidRDefault="00502CA7" w:rsidP="001033BD">
            <w:pPr>
              <w:ind w:leftChars="376" w:left="3453" w:hangingChars="1063" w:hanging="2551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五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行人保護專用時相：在交叉路口，設立專用號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，綠燈時，只有行人可以通行，而路口四個方向的車流皆不得通行，以免行人與車輛產生交織而發生危險。</w:t>
            </w:r>
          </w:p>
          <w:p w:rsidR="00B70309" w:rsidRPr="00E66AC0" w:rsidRDefault="00502CA7" w:rsidP="00B70309">
            <w:pPr>
              <w:ind w:leftChars="375" w:left="900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六</w:t>
            </w:r>
            <w:r w:rsidRPr="00E66AC0">
              <w:rPr>
                <w:rFonts w:ascii="Times New Roman" w:hAnsi="Times New Roman"/>
              </w:rPr>
              <w:t>)</w:t>
            </w:r>
            <w:proofErr w:type="spellStart"/>
            <w:r w:rsidRPr="00E66AC0">
              <w:rPr>
                <w:rFonts w:ascii="Times New Roman" w:hAnsi="Times New Roman"/>
              </w:rPr>
              <w:t>eTag</w:t>
            </w:r>
            <w:proofErr w:type="spellEnd"/>
            <w:r w:rsidRPr="00E66AC0">
              <w:rPr>
                <w:rFonts w:ascii="Times New Roman" w:hAnsi="Times New Roman"/>
              </w:rPr>
              <w:t>偵測器：無線射頻識別系統電子標籤收費。</w:t>
            </w:r>
          </w:p>
          <w:p w:rsidR="00B70309" w:rsidRPr="00E66AC0" w:rsidRDefault="00502CA7" w:rsidP="001033BD">
            <w:pPr>
              <w:ind w:leftChars="376" w:left="2318" w:hangingChars="590" w:hanging="1416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七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偵測器：車輛偵測器設置於各道路重要據點，以偵測車種、車速、佔有率等資料，並傳回控制中心之中央電腦加以處理、分析、儲存或作為建議交通</w:t>
            </w:r>
            <w:r w:rsidRPr="00E66AC0">
              <w:rPr>
                <w:rFonts w:ascii="Times New Roman" w:hAnsi="Times New Roman"/>
              </w:rPr>
              <w:lastRenderedPageBreak/>
              <w:t>控制策略之用。</w:t>
            </w:r>
          </w:p>
          <w:p w:rsidR="00502CA7" w:rsidRPr="00E66AC0" w:rsidRDefault="00502CA7" w:rsidP="001033BD">
            <w:pPr>
              <w:ind w:leftChars="376" w:left="2884" w:hangingChars="826" w:hanging="1982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八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資訊可變標誌：設置於道路上，以可變化之文字或圖形為顯示內容，提供交通資訊給用路人，作為行車參考。</w:t>
            </w:r>
            <w:r w:rsidRPr="00E66AC0">
              <w:rPr>
                <w:rFonts w:ascii="Times New Roman" w:hAnsi="Times New Roman"/>
              </w:rPr>
              <w:tab/>
            </w:r>
            <w:r w:rsidRPr="00E66AC0">
              <w:rPr>
                <w:rFonts w:ascii="Times New Roman" w:hAnsi="Times New Roman"/>
              </w:rPr>
              <w:tab/>
            </w:r>
            <w:r w:rsidRPr="00E66AC0">
              <w:rPr>
                <w:rFonts w:ascii="Times New Roman" w:hAnsi="Times New Roman"/>
              </w:rPr>
              <w:tab/>
            </w:r>
            <w:r w:rsidRPr="00E66AC0">
              <w:rPr>
                <w:rFonts w:ascii="Times New Roman" w:hAnsi="Times New Roman"/>
              </w:rPr>
              <w:tab/>
            </w:r>
            <w:r w:rsidRPr="00E66AC0">
              <w:rPr>
                <w:rFonts w:ascii="Times New Roman" w:hAnsi="Times New Roman"/>
              </w:rPr>
              <w:tab/>
            </w:r>
          </w:p>
          <w:p w:rsidR="00B70309" w:rsidRPr="00E66AC0" w:rsidRDefault="00502CA7" w:rsidP="001033BD">
            <w:pPr>
              <w:ind w:leftChars="376" w:left="3026" w:hangingChars="885" w:hanging="2124"/>
              <w:rPr>
                <w:rFonts w:ascii="Times New Roman" w:hAnsi="Times New Roman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九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閉路電視監視器：閉路電視監視器主要由電視攝影機、當地控制器、傳輸系統、中央控制設備及電視監視機等組成，在道路重要地點設置攝影機攝取影像，由當地控制器將影像訊號送至控制中心，控制中心人員由監視機上之畫面可清楚地看到實際狀況，準備應變措施。</w:t>
            </w:r>
          </w:p>
          <w:p w:rsidR="004A1DD1" w:rsidRPr="00E66AC0" w:rsidRDefault="00502CA7" w:rsidP="001033BD">
            <w:pPr>
              <w:ind w:leftChars="376" w:left="2884" w:hangingChars="826" w:hanging="1982"/>
              <w:rPr>
                <w:szCs w:val="24"/>
              </w:rPr>
            </w:pPr>
            <w:r w:rsidRPr="00E66AC0">
              <w:rPr>
                <w:rFonts w:ascii="Times New Roman" w:hAnsi="Times New Roman"/>
              </w:rPr>
              <w:t>(</w:t>
            </w:r>
            <w:r w:rsidRPr="00E66AC0">
              <w:rPr>
                <w:rFonts w:ascii="Times New Roman" w:hAnsi="Times New Roman"/>
              </w:rPr>
              <w:t>十</w:t>
            </w:r>
            <w:r w:rsidRPr="00E66AC0">
              <w:rPr>
                <w:rFonts w:ascii="Times New Roman" w:hAnsi="Times New Roman"/>
              </w:rPr>
              <w:t>)</w:t>
            </w:r>
            <w:r w:rsidRPr="00E66AC0">
              <w:rPr>
                <w:rFonts w:ascii="Times New Roman" w:hAnsi="Times New Roman"/>
              </w:rPr>
              <w:t>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連線數：於重要幹道設置，各路口號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同步顯示三色號</w:t>
            </w:r>
            <w:proofErr w:type="gramStart"/>
            <w:r w:rsidRPr="00E66AC0">
              <w:rPr>
                <w:rFonts w:ascii="Times New Roman" w:hAnsi="Times New Roman"/>
              </w:rPr>
              <w:t>誌</w:t>
            </w:r>
            <w:proofErr w:type="gramEnd"/>
            <w:r w:rsidRPr="00E66AC0">
              <w:rPr>
                <w:rFonts w:ascii="Times New Roman" w:hAnsi="Times New Roman"/>
              </w:rPr>
              <w:t>之功能，以利車流之順暢。</w:t>
            </w:r>
          </w:p>
          <w:p w:rsidR="005E11FC" w:rsidRPr="00E66AC0" w:rsidRDefault="005E11FC" w:rsidP="005E11FC">
            <w:pPr>
              <w:spacing w:line="360" w:lineRule="exact"/>
              <w:ind w:firstLine="280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統計單位：</w:t>
            </w:r>
            <w:r w:rsidR="00DD2520" w:rsidRPr="00E66AC0">
              <w:rPr>
                <w:rFonts w:hint="eastAsia"/>
                <w:szCs w:val="24"/>
              </w:rPr>
              <w:t>條</w:t>
            </w:r>
            <w:r w:rsidR="00DD2520" w:rsidRPr="00E66AC0">
              <w:rPr>
                <w:rFonts w:ascii="Times New Roman" w:hAnsi="Times New Roman"/>
              </w:rPr>
              <w:t>、</w:t>
            </w:r>
            <w:r w:rsidR="00DD2520" w:rsidRPr="00E66AC0">
              <w:rPr>
                <w:rFonts w:hint="eastAsia"/>
                <w:szCs w:val="24"/>
              </w:rPr>
              <w:t>組</w:t>
            </w:r>
            <w:r w:rsidR="00DD2520" w:rsidRPr="00E66AC0">
              <w:rPr>
                <w:rFonts w:ascii="Times New Roman" w:hAnsi="Times New Roman"/>
              </w:rPr>
              <w:t>、</w:t>
            </w:r>
            <w:r w:rsidR="00DD2520" w:rsidRPr="00E66AC0">
              <w:rPr>
                <w:rFonts w:hint="eastAsia"/>
                <w:szCs w:val="24"/>
              </w:rPr>
              <w:t>路口</w:t>
            </w:r>
            <w:r w:rsidR="00DD2520" w:rsidRPr="00E66AC0">
              <w:rPr>
                <w:rFonts w:ascii="Times New Roman" w:hAnsi="Times New Roman"/>
              </w:rPr>
              <w:t>、</w:t>
            </w:r>
            <w:r w:rsidR="00DD2520" w:rsidRPr="00E66AC0">
              <w:rPr>
                <w:rFonts w:hint="eastAsia"/>
                <w:szCs w:val="24"/>
              </w:rPr>
              <w:t>處</w:t>
            </w:r>
            <w:r w:rsidR="00DD2520" w:rsidRPr="00E66AC0">
              <w:rPr>
                <w:rFonts w:ascii="Times New Roman" w:hAnsi="Times New Roman"/>
              </w:rPr>
              <w:t>、</w:t>
            </w:r>
            <w:r w:rsidR="00DD2520" w:rsidRPr="00E66AC0">
              <w:rPr>
                <w:rFonts w:hint="eastAsia"/>
                <w:szCs w:val="24"/>
              </w:rPr>
              <w:t>台及座</w:t>
            </w:r>
            <w:r w:rsidRPr="00E66AC0">
              <w:rPr>
                <w:rFonts w:hint="eastAsia"/>
                <w:szCs w:val="24"/>
              </w:rPr>
              <w:t>。</w:t>
            </w:r>
          </w:p>
          <w:p w:rsidR="005E11FC" w:rsidRPr="00E66AC0" w:rsidRDefault="005E11FC" w:rsidP="001033BD">
            <w:pPr>
              <w:spacing w:line="360" w:lineRule="exact"/>
              <w:ind w:leftChars="139" w:left="1750" w:hangingChars="590" w:hanging="1416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統計分類：</w:t>
            </w:r>
            <w:proofErr w:type="gramStart"/>
            <w:r w:rsidR="00502CA7" w:rsidRPr="00E66AC0">
              <w:rPr>
                <w:rFonts w:ascii="Times New Roman" w:hAnsi="Times New Roman"/>
              </w:rPr>
              <w:t>縱</w:t>
            </w:r>
            <w:proofErr w:type="gramEnd"/>
            <w:r w:rsidR="00502CA7" w:rsidRPr="00E66AC0">
              <w:rPr>
                <w:rFonts w:ascii="Times New Roman" w:hAnsi="Times New Roman" w:hint="eastAsia"/>
              </w:rPr>
              <w:t>項目</w:t>
            </w:r>
            <w:r w:rsidR="00502CA7" w:rsidRPr="00E66AC0">
              <w:rPr>
                <w:rFonts w:ascii="Times New Roman" w:hAnsi="Times New Roman"/>
              </w:rPr>
              <w:t>依其用途分為機車優先道、機車專用道、調撥車道、交通號</w:t>
            </w:r>
            <w:proofErr w:type="gramStart"/>
            <w:r w:rsidR="00502CA7" w:rsidRPr="00E66AC0">
              <w:rPr>
                <w:rFonts w:ascii="Times New Roman" w:hAnsi="Times New Roman"/>
              </w:rPr>
              <w:t>誌</w:t>
            </w:r>
            <w:proofErr w:type="gramEnd"/>
            <w:r w:rsidR="00502CA7" w:rsidRPr="00E66AC0">
              <w:rPr>
                <w:rFonts w:ascii="Times New Roman" w:hAnsi="Times New Roman"/>
              </w:rPr>
              <w:t>、行人保護專用時相、</w:t>
            </w:r>
            <w:proofErr w:type="spellStart"/>
            <w:r w:rsidR="00502CA7" w:rsidRPr="00E66AC0">
              <w:rPr>
                <w:rFonts w:ascii="Times New Roman" w:hAnsi="Times New Roman"/>
              </w:rPr>
              <w:t>eTag</w:t>
            </w:r>
            <w:proofErr w:type="spellEnd"/>
            <w:r w:rsidR="00502CA7" w:rsidRPr="00E66AC0">
              <w:rPr>
                <w:rFonts w:ascii="Times New Roman" w:hAnsi="Times New Roman"/>
              </w:rPr>
              <w:t>偵測器、偵測器、資訊可變標誌、閉路電視監視器、號</w:t>
            </w:r>
            <w:proofErr w:type="gramStart"/>
            <w:r w:rsidR="00502CA7" w:rsidRPr="00E66AC0">
              <w:rPr>
                <w:rFonts w:ascii="Times New Roman" w:hAnsi="Times New Roman"/>
              </w:rPr>
              <w:t>誌</w:t>
            </w:r>
            <w:proofErr w:type="gramEnd"/>
            <w:r w:rsidR="00502CA7" w:rsidRPr="00E66AC0">
              <w:rPr>
                <w:rFonts w:ascii="Times New Roman" w:hAnsi="Times New Roman"/>
              </w:rPr>
              <w:t>連線數。</w:t>
            </w:r>
          </w:p>
          <w:p w:rsidR="000E192F" w:rsidRPr="00E66AC0" w:rsidRDefault="008F3FE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發布週期（指資料編製或產生之頻率，如月、季、年等）：</w:t>
            </w:r>
            <w:r w:rsidR="000E192F" w:rsidRPr="00E66AC0">
              <w:rPr>
                <w:rFonts w:hint="eastAsia"/>
                <w:szCs w:val="24"/>
              </w:rPr>
              <w:t>月</w:t>
            </w:r>
          </w:p>
          <w:p w:rsidR="005E11FC" w:rsidRPr="00E66AC0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時效（指統計標準時間至資料發布時間之間隔時間）：</w:t>
            </w:r>
            <w:r w:rsidR="00345164" w:rsidRPr="00E66AC0">
              <w:rPr>
                <w:rFonts w:hint="eastAsia"/>
                <w:szCs w:val="24"/>
              </w:rPr>
              <w:t>20</w:t>
            </w:r>
            <w:r w:rsidR="009E3AA6" w:rsidRPr="00E66AC0">
              <w:rPr>
                <w:rFonts w:hint="eastAsia"/>
                <w:szCs w:val="24"/>
              </w:rPr>
              <w:t>日</w:t>
            </w:r>
          </w:p>
          <w:p w:rsidR="005E11FC" w:rsidRPr="00E66AC0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四、公開資料發布訊息</w:t>
            </w:r>
            <w:bookmarkStart w:id="0" w:name="_GoBack"/>
            <w:bookmarkEnd w:id="0"/>
          </w:p>
          <w:p w:rsidR="005E11FC" w:rsidRPr="00E66AC0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預告發布日期（含預告方式及週期）：</w:t>
            </w:r>
            <w:r w:rsidR="00BC2B68" w:rsidRPr="00E66AC0">
              <w:rPr>
                <w:rFonts w:hint="eastAsia"/>
                <w:szCs w:val="24"/>
              </w:rPr>
              <w:t>次</w:t>
            </w:r>
            <w:r w:rsidR="009E3AA6" w:rsidRPr="00E66AC0">
              <w:rPr>
                <w:rFonts w:hint="eastAsia"/>
                <w:kern w:val="0"/>
                <w:szCs w:val="24"/>
              </w:rPr>
              <w:t>月</w:t>
            </w:r>
            <w:r w:rsidR="00345164" w:rsidRPr="00E66AC0">
              <w:rPr>
                <w:rFonts w:hint="eastAsia"/>
                <w:kern w:val="0"/>
                <w:szCs w:val="24"/>
              </w:rPr>
              <w:t>20</w:t>
            </w:r>
            <w:r w:rsidR="009E3AA6" w:rsidRPr="00E66AC0">
              <w:rPr>
                <w:rFonts w:hint="eastAsia"/>
                <w:kern w:val="0"/>
                <w:szCs w:val="24"/>
              </w:rPr>
              <w:t>日</w:t>
            </w:r>
            <w:r w:rsidR="001F1BFE" w:rsidRPr="00E66AC0">
              <w:rPr>
                <w:rFonts w:hint="eastAsia"/>
                <w:szCs w:val="24"/>
              </w:rPr>
              <w:t>（遇例假日順延）</w:t>
            </w:r>
            <w:r w:rsidR="008F3FEC" w:rsidRPr="00E66AC0">
              <w:rPr>
                <w:rFonts w:hint="eastAsia"/>
                <w:szCs w:val="24"/>
              </w:rPr>
              <w:t>，</w:t>
            </w:r>
            <w:r w:rsidR="00146819" w:rsidRPr="00E66AC0">
              <w:rPr>
                <w:rFonts w:hint="eastAsia"/>
                <w:szCs w:val="24"/>
              </w:rPr>
              <w:t>以報表、網際網路發布</w:t>
            </w:r>
            <w:r w:rsidRPr="00E66AC0">
              <w:rPr>
                <w:rFonts w:hint="eastAsia"/>
                <w:szCs w:val="24"/>
              </w:rPr>
              <w:t>。</w:t>
            </w:r>
          </w:p>
          <w:p w:rsidR="005E11FC" w:rsidRPr="00E66AC0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同步發送單位（說明資料發布時同步發送之單位或可同步查得該資料之網址）：桃園</w:t>
            </w:r>
            <w:r w:rsidR="005202A3" w:rsidRPr="00E66AC0">
              <w:rPr>
                <w:rFonts w:hint="eastAsia"/>
                <w:szCs w:val="24"/>
              </w:rPr>
              <w:t>市</w:t>
            </w:r>
            <w:r w:rsidRPr="00E66AC0">
              <w:rPr>
                <w:rFonts w:hint="eastAsia"/>
                <w:szCs w:val="24"/>
              </w:rPr>
              <w:t>政府主計處</w:t>
            </w:r>
          </w:p>
          <w:p w:rsidR="005E11FC" w:rsidRPr="00E66AC0" w:rsidRDefault="005E11FC" w:rsidP="003E4914">
            <w:pPr>
              <w:spacing w:before="240" w:line="360" w:lineRule="exact"/>
              <w:ind w:left="616" w:hanging="616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五、資料品質</w:t>
            </w:r>
          </w:p>
          <w:p w:rsidR="005E11FC" w:rsidRPr="00E66AC0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="00AE02CA" w:rsidRPr="00E66AC0">
              <w:rPr>
                <w:rFonts w:hint="eastAsia"/>
                <w:szCs w:val="24"/>
              </w:rPr>
              <w:t>統計指標編製方法與資料來源說明：</w:t>
            </w:r>
            <w:r w:rsidR="007D63E9" w:rsidRPr="00E66AC0">
              <w:rPr>
                <w:rFonts w:hint="eastAsia"/>
                <w:szCs w:val="24"/>
              </w:rPr>
              <w:t>由本局運輸資訊中心及交通工程科提供資料，並由運輸資訊中心彙編。</w:t>
            </w:r>
          </w:p>
          <w:p w:rsidR="005E11FC" w:rsidRPr="00E66AC0" w:rsidRDefault="005E11FC" w:rsidP="001D0080">
            <w:pPr>
              <w:spacing w:line="360" w:lineRule="exact"/>
              <w:ind w:leftChars="118" w:left="525" w:hangingChars="101" w:hanging="242"/>
              <w:rPr>
                <w:szCs w:val="24"/>
              </w:rPr>
            </w:pPr>
            <w:proofErr w:type="gramStart"/>
            <w:r w:rsidRPr="00E66AC0">
              <w:rPr>
                <w:rFonts w:hint="eastAsia"/>
                <w:szCs w:val="24"/>
              </w:rPr>
              <w:t>＊</w:t>
            </w:r>
            <w:proofErr w:type="gramEnd"/>
            <w:r w:rsidRPr="00E66AC0">
              <w:rPr>
                <w:rFonts w:hint="eastAsia"/>
                <w:szCs w:val="24"/>
              </w:rPr>
              <w:t>統計資料交叉查核及確保資料合理性之機制：</w:t>
            </w:r>
            <w:r w:rsidR="001F1BFE" w:rsidRPr="00E66AC0">
              <w:rPr>
                <w:rFonts w:hint="eastAsia"/>
                <w:szCs w:val="24"/>
              </w:rPr>
              <w:t>總計項等於各分類項資料加總。</w:t>
            </w:r>
          </w:p>
          <w:p w:rsidR="005E11FC" w:rsidRPr="00E66AC0" w:rsidRDefault="005E11FC" w:rsidP="003E4914">
            <w:pPr>
              <w:spacing w:before="240" w:line="360" w:lineRule="exact"/>
              <w:ind w:left="600" w:hanging="600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六、須注意及預定改變之事項：無</w:t>
            </w:r>
          </w:p>
          <w:p w:rsidR="005E11FC" w:rsidRPr="00E66AC0" w:rsidRDefault="005E11FC" w:rsidP="004A1DD1">
            <w:pPr>
              <w:spacing w:before="240" w:line="360" w:lineRule="exact"/>
              <w:ind w:left="600" w:hanging="600"/>
              <w:jc w:val="both"/>
              <w:rPr>
                <w:szCs w:val="24"/>
              </w:rPr>
            </w:pPr>
            <w:r w:rsidRPr="00E66AC0">
              <w:rPr>
                <w:rFonts w:hint="eastAsia"/>
                <w:szCs w:val="24"/>
              </w:rPr>
              <w:t>七、其他事項：無</w:t>
            </w:r>
          </w:p>
        </w:tc>
      </w:tr>
    </w:tbl>
    <w:p w:rsidR="00E9281F" w:rsidRPr="00E66AC0" w:rsidRDefault="00E9281F"/>
    <w:sectPr w:rsidR="00E9281F" w:rsidRPr="00E66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28" w:rsidRDefault="00444628" w:rsidP="00146819">
      <w:r>
        <w:separator/>
      </w:r>
    </w:p>
  </w:endnote>
  <w:endnote w:type="continuationSeparator" w:id="0">
    <w:p w:rsidR="00444628" w:rsidRDefault="00444628" w:rsidP="001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28" w:rsidRDefault="00444628" w:rsidP="00146819">
      <w:r>
        <w:separator/>
      </w:r>
    </w:p>
  </w:footnote>
  <w:footnote w:type="continuationSeparator" w:id="0">
    <w:p w:rsidR="00444628" w:rsidRDefault="00444628" w:rsidP="0014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5B8"/>
    <w:multiLevelType w:val="hybridMultilevel"/>
    <w:tmpl w:val="D9FE9114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369224">
      <w:start w:val="1"/>
      <w:numFmt w:val="taiwaneseCountingThousand"/>
      <w:lvlText w:val="(%3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FC"/>
    <w:rsid w:val="0000536E"/>
    <w:rsid w:val="00070D16"/>
    <w:rsid w:val="000E192F"/>
    <w:rsid w:val="000F7DD5"/>
    <w:rsid w:val="001033BD"/>
    <w:rsid w:val="00127E1E"/>
    <w:rsid w:val="00146819"/>
    <w:rsid w:val="0015211B"/>
    <w:rsid w:val="001C0BE2"/>
    <w:rsid w:val="001D0080"/>
    <w:rsid w:val="001F1BFE"/>
    <w:rsid w:val="002037D2"/>
    <w:rsid w:val="00250E3A"/>
    <w:rsid w:val="002549D9"/>
    <w:rsid w:val="00267CE8"/>
    <w:rsid w:val="002A1445"/>
    <w:rsid w:val="00345164"/>
    <w:rsid w:val="00444628"/>
    <w:rsid w:val="0044511A"/>
    <w:rsid w:val="00457168"/>
    <w:rsid w:val="004A1DD1"/>
    <w:rsid w:val="004B4C19"/>
    <w:rsid w:val="004C2E37"/>
    <w:rsid w:val="004E4435"/>
    <w:rsid w:val="00502CA7"/>
    <w:rsid w:val="00511DCE"/>
    <w:rsid w:val="005202A3"/>
    <w:rsid w:val="00527D65"/>
    <w:rsid w:val="00533A05"/>
    <w:rsid w:val="005459C2"/>
    <w:rsid w:val="005E11FC"/>
    <w:rsid w:val="005E414E"/>
    <w:rsid w:val="006B50C2"/>
    <w:rsid w:val="006D3E20"/>
    <w:rsid w:val="0079351F"/>
    <w:rsid w:val="007D1227"/>
    <w:rsid w:val="007D63E9"/>
    <w:rsid w:val="00812DFC"/>
    <w:rsid w:val="00824B67"/>
    <w:rsid w:val="008C297D"/>
    <w:rsid w:val="008E0AB3"/>
    <w:rsid w:val="008F3FEC"/>
    <w:rsid w:val="00915649"/>
    <w:rsid w:val="0097668C"/>
    <w:rsid w:val="009A719F"/>
    <w:rsid w:val="009E06F9"/>
    <w:rsid w:val="009E1D97"/>
    <w:rsid w:val="009E3AA6"/>
    <w:rsid w:val="00A37E77"/>
    <w:rsid w:val="00A42FB1"/>
    <w:rsid w:val="00A81146"/>
    <w:rsid w:val="00A83968"/>
    <w:rsid w:val="00AC0213"/>
    <w:rsid w:val="00AE02CA"/>
    <w:rsid w:val="00B1601A"/>
    <w:rsid w:val="00B306A0"/>
    <w:rsid w:val="00B70309"/>
    <w:rsid w:val="00BC2B68"/>
    <w:rsid w:val="00C472FD"/>
    <w:rsid w:val="00C94290"/>
    <w:rsid w:val="00CF2171"/>
    <w:rsid w:val="00DD2520"/>
    <w:rsid w:val="00E1454C"/>
    <w:rsid w:val="00E66AC0"/>
    <w:rsid w:val="00E9281F"/>
    <w:rsid w:val="00EA395A"/>
    <w:rsid w:val="00EF0C4D"/>
    <w:rsid w:val="00F140CB"/>
    <w:rsid w:val="00F160B8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3CE67-EA18-476E-82D7-61EFE42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81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819"/>
    <w:rPr>
      <w:rFonts w:ascii="標楷體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呂明茹</dc:creator>
  <cp:lastModifiedBy>曾偉君</cp:lastModifiedBy>
  <cp:revision>9</cp:revision>
  <dcterms:created xsi:type="dcterms:W3CDTF">2021-11-02T07:22:00Z</dcterms:created>
  <dcterms:modified xsi:type="dcterms:W3CDTF">2021-11-25T07:33:00Z</dcterms:modified>
</cp:coreProperties>
</file>