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Ind w:w="-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2"/>
      </w:tblGrid>
      <w:tr w:rsidR="003845B9">
        <w:tblPrEx>
          <w:tblCellMar>
            <w:top w:w="0" w:type="dxa"/>
            <w:bottom w:w="0" w:type="dxa"/>
          </w:tblCellMar>
        </w:tblPrEx>
        <w:trPr>
          <w:trHeight w:val="14730"/>
        </w:trPr>
        <w:tc>
          <w:tcPr>
            <w:tcW w:w="101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5B9" w:rsidRDefault="006A7C3E">
            <w:pPr>
              <w:pStyle w:val="Standard"/>
              <w:spacing w:line="360" w:lineRule="exact"/>
              <w:jc w:val="center"/>
              <w:rPr>
                <w:b/>
                <w:bCs/>
                <w:spacing w:val="-4"/>
                <w:sz w:val="28"/>
              </w:rPr>
            </w:pPr>
            <w:bookmarkStart w:id="0" w:name="_GoBack"/>
            <w:bookmarkEnd w:id="0"/>
            <w:r>
              <w:rPr>
                <w:b/>
                <w:bCs/>
                <w:spacing w:val="-4"/>
                <w:sz w:val="28"/>
              </w:rPr>
              <w:t>統計資料背景說明</w:t>
            </w:r>
          </w:p>
          <w:p w:rsidR="003845B9" w:rsidRDefault="006A7C3E">
            <w:pPr>
              <w:pStyle w:val="Standard"/>
              <w:spacing w:line="360" w:lineRule="exact"/>
              <w:rPr>
                <w:sz w:val="28"/>
              </w:rPr>
            </w:pPr>
            <w:r>
              <w:rPr>
                <w:sz w:val="28"/>
              </w:rPr>
              <w:t>資料種類：其他衛生統計</w:t>
            </w:r>
          </w:p>
          <w:p w:rsidR="003845B9" w:rsidRDefault="006A7C3E">
            <w:pPr>
              <w:pStyle w:val="Standard"/>
              <w:spacing w:line="360" w:lineRule="exact"/>
              <w:rPr>
                <w:sz w:val="28"/>
              </w:rPr>
            </w:pPr>
            <w:r>
              <w:rPr>
                <w:sz w:val="28"/>
              </w:rPr>
              <w:t>資料項目：桃園市營業衛生管理稽查概況</w:t>
            </w:r>
          </w:p>
          <w:p w:rsidR="003845B9" w:rsidRDefault="006A7C3E">
            <w:pPr>
              <w:pStyle w:val="Standard"/>
              <w:spacing w:before="180"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一、發布及編製機關單位</w:t>
            </w:r>
          </w:p>
          <w:p w:rsidR="003845B9" w:rsidRDefault="006A7C3E">
            <w:pPr>
              <w:pStyle w:val="Standard"/>
              <w:spacing w:line="360" w:lineRule="exact"/>
              <w:ind w:left="720" w:hanging="426"/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＊發布機關、單位：桃園市政府衛生局會計室</w:t>
            </w:r>
          </w:p>
          <w:p w:rsidR="003845B9" w:rsidRDefault="006A7C3E">
            <w:pPr>
              <w:pStyle w:val="Standard"/>
              <w:spacing w:line="360" w:lineRule="exact"/>
              <w:ind w:left="720" w:hanging="426"/>
              <w:jc w:val="both"/>
              <w:rPr>
                <w:sz w:val="28"/>
              </w:rPr>
            </w:pPr>
            <w:r>
              <w:rPr>
                <w:sz w:val="28"/>
              </w:rPr>
              <w:t>＊編製單位：桃園市政府衛生局疾病管制科</w:t>
            </w:r>
          </w:p>
          <w:p w:rsidR="003845B9" w:rsidRDefault="006A7C3E">
            <w:pPr>
              <w:pStyle w:val="Standard"/>
              <w:spacing w:line="360" w:lineRule="exact"/>
              <w:ind w:left="720" w:hanging="426"/>
              <w:jc w:val="both"/>
              <w:rPr>
                <w:sz w:val="28"/>
              </w:rPr>
            </w:pPr>
            <w:r>
              <w:rPr>
                <w:sz w:val="28"/>
              </w:rPr>
              <w:t>＊聯絡電話：</w:t>
            </w:r>
            <w:r>
              <w:rPr>
                <w:sz w:val="28"/>
              </w:rPr>
              <w:t>(03)334-0935</w:t>
            </w:r>
            <w:r>
              <w:rPr>
                <w:sz w:val="28"/>
              </w:rPr>
              <w:t>分機</w:t>
            </w:r>
            <w:r>
              <w:rPr>
                <w:sz w:val="28"/>
              </w:rPr>
              <w:t>2903</w:t>
            </w:r>
          </w:p>
          <w:p w:rsidR="003845B9" w:rsidRDefault="006A7C3E">
            <w:pPr>
              <w:pStyle w:val="Standard"/>
              <w:spacing w:line="360" w:lineRule="exact"/>
              <w:ind w:left="720" w:hanging="426"/>
              <w:jc w:val="both"/>
              <w:rPr>
                <w:sz w:val="28"/>
              </w:rPr>
            </w:pPr>
            <w:r>
              <w:rPr>
                <w:sz w:val="28"/>
              </w:rPr>
              <w:t>＊傳真：</w:t>
            </w:r>
            <w:r>
              <w:rPr>
                <w:sz w:val="28"/>
              </w:rPr>
              <w:t>(03)336-4254</w:t>
            </w:r>
          </w:p>
          <w:p w:rsidR="003845B9" w:rsidRDefault="006A7C3E">
            <w:pPr>
              <w:pStyle w:val="Standard"/>
              <w:spacing w:line="360" w:lineRule="exact"/>
              <w:ind w:left="720" w:hanging="426"/>
              <w:jc w:val="both"/>
            </w:pPr>
            <w:r>
              <w:rPr>
                <w:sz w:val="28"/>
              </w:rPr>
              <w:t>＊電子信箱：</w:t>
            </w:r>
            <w:r>
              <w:rPr>
                <w:sz w:val="28"/>
              </w:rPr>
              <w:t>10046879@mail.tycg.gov.tw</w:t>
            </w:r>
          </w:p>
          <w:p w:rsidR="003845B9" w:rsidRDefault="006A7C3E">
            <w:pPr>
              <w:pStyle w:val="Standard"/>
              <w:spacing w:before="180"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二、發布形式</w:t>
            </w:r>
          </w:p>
          <w:p w:rsidR="003845B9" w:rsidRDefault="006A7C3E">
            <w:pPr>
              <w:pStyle w:val="Standard"/>
              <w:spacing w:line="360" w:lineRule="exact"/>
              <w:ind w:left="294"/>
              <w:jc w:val="both"/>
            </w:pPr>
            <w:r>
              <w:rPr>
                <w:spacing w:val="-4"/>
                <w:sz w:val="28"/>
              </w:rPr>
              <w:t>＊</w:t>
            </w:r>
            <w:r>
              <w:rPr>
                <w:sz w:val="28"/>
              </w:rPr>
              <w:t>口頭：</w:t>
            </w:r>
          </w:p>
          <w:p w:rsidR="003845B9" w:rsidRDefault="006A7C3E">
            <w:pPr>
              <w:pStyle w:val="Standard"/>
              <w:spacing w:line="360" w:lineRule="exact"/>
              <w:ind w:firstLine="568"/>
              <w:jc w:val="both"/>
            </w:pPr>
            <w:r>
              <w:rPr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）記者會或說明會</w:t>
            </w:r>
          </w:p>
          <w:p w:rsidR="003845B9" w:rsidRDefault="006A7C3E">
            <w:pPr>
              <w:pStyle w:val="Standard"/>
              <w:spacing w:line="360" w:lineRule="exact"/>
              <w:ind w:left="294"/>
              <w:jc w:val="both"/>
            </w:pPr>
            <w:r>
              <w:rPr>
                <w:spacing w:val="-4"/>
                <w:sz w:val="28"/>
              </w:rPr>
              <w:t>＊</w:t>
            </w:r>
            <w:r>
              <w:rPr>
                <w:sz w:val="28"/>
              </w:rPr>
              <w:t>書面：</w:t>
            </w:r>
          </w:p>
          <w:p w:rsidR="003845B9" w:rsidRDefault="006A7C3E">
            <w:pPr>
              <w:pStyle w:val="Standard"/>
              <w:spacing w:line="360" w:lineRule="exact"/>
              <w:ind w:left="294" w:firstLine="232"/>
              <w:jc w:val="both"/>
            </w:pPr>
            <w:r>
              <w:rPr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）新聞稿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（</w:t>
            </w:r>
            <w:r>
              <w:rPr>
                <w:rFonts w:cs="Symbol"/>
                <w:b/>
                <w:sz w:val="28"/>
                <w:szCs w:val="28"/>
                <w:shd w:val="clear" w:color="auto" w:fill="FFFFFF"/>
              </w:rPr>
              <w:t></w:t>
            </w:r>
            <w:r>
              <w:rPr>
                <w:sz w:val="28"/>
              </w:rPr>
              <w:t>）報表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）書刊，刊名：</w:t>
            </w:r>
          </w:p>
          <w:p w:rsidR="003845B9" w:rsidRDefault="006A7C3E">
            <w:pPr>
              <w:pStyle w:val="Standard"/>
              <w:spacing w:line="360" w:lineRule="exact"/>
              <w:ind w:left="294"/>
              <w:jc w:val="both"/>
              <w:rPr>
                <w:sz w:val="28"/>
              </w:rPr>
            </w:pPr>
            <w:r>
              <w:rPr>
                <w:sz w:val="28"/>
              </w:rPr>
              <w:t>＊電子媒體：</w:t>
            </w:r>
          </w:p>
          <w:p w:rsidR="003845B9" w:rsidRDefault="006A7C3E">
            <w:pPr>
              <w:pStyle w:val="Standard"/>
              <w:spacing w:line="360" w:lineRule="exact"/>
              <w:ind w:left="1880" w:hanging="1400"/>
            </w:pPr>
            <w:r>
              <w:rPr>
                <w:sz w:val="28"/>
              </w:rPr>
              <w:t>（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</w:rPr>
              <w:t>）線上書刊及資料庫，</w:t>
            </w:r>
          </w:p>
          <w:p w:rsidR="003845B9" w:rsidRDefault="006A7C3E">
            <w:pPr>
              <w:pStyle w:val="Standard"/>
              <w:spacing w:line="360" w:lineRule="exact"/>
              <w:ind w:left="1879" w:hanging="655"/>
              <w:rPr>
                <w:sz w:val="28"/>
              </w:rPr>
            </w:pPr>
            <w:r>
              <w:rPr>
                <w:sz w:val="28"/>
              </w:rPr>
              <w:t>網址：</w:t>
            </w:r>
          </w:p>
          <w:p w:rsidR="003845B9" w:rsidRDefault="006A7C3E">
            <w:pPr>
              <w:pStyle w:val="Standard"/>
              <w:spacing w:line="360" w:lineRule="exact"/>
              <w:ind w:right="-328" w:firstLine="560"/>
              <w:jc w:val="both"/>
            </w:pPr>
            <w:r>
              <w:rPr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）磁片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）光碟片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（</w:t>
            </w:r>
            <w:r>
              <w:rPr>
                <w:rFonts w:ascii="Wingdings" w:hAnsi="Wingdings"/>
                <w:kern w:val="0"/>
              </w:rPr>
              <w:t></w:t>
            </w:r>
            <w:r>
              <w:rPr>
                <w:sz w:val="28"/>
              </w:rPr>
              <w:t>）其他</w:t>
            </w:r>
          </w:p>
          <w:p w:rsidR="003845B9" w:rsidRDefault="006A7C3E">
            <w:pPr>
              <w:ind w:firstLine="475"/>
              <w:rPr>
                <w:rFonts w:hint="eastAsia"/>
              </w:rPr>
            </w:pPr>
            <w:r>
              <w:t>Open Document File (odf)</w:t>
            </w:r>
            <w:r>
              <w:rPr>
                <w:rFonts w:ascii="標楷體" w:eastAsia="標楷體" w:hAnsi="標楷體"/>
              </w:rPr>
              <w:t>、</w:t>
            </w:r>
            <w:r>
              <w:t xml:space="preserve">Portable Document Format (pdf) </w:t>
            </w:r>
            <w:r>
              <w:rPr>
                <w:rFonts w:ascii="標楷體" w:eastAsia="標楷體" w:hAnsi="標楷體"/>
              </w:rPr>
              <w:t>或</w:t>
            </w:r>
            <w:r>
              <w:t>Excel</w:t>
            </w:r>
            <w:r>
              <w:rPr>
                <w:rFonts w:ascii="標楷體" w:eastAsia="標楷體" w:hAnsi="標楷體"/>
              </w:rPr>
              <w:t>檔案。</w:t>
            </w:r>
          </w:p>
          <w:p w:rsidR="003845B9" w:rsidRDefault="006A7C3E">
            <w:pPr>
              <w:pStyle w:val="Standard"/>
              <w:spacing w:before="180"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三、資料範圍、週期及時效</w:t>
            </w:r>
          </w:p>
          <w:p w:rsidR="003845B9" w:rsidRDefault="006A7C3E">
            <w:pPr>
              <w:pStyle w:val="Standard"/>
              <w:tabs>
                <w:tab w:val="left" w:pos="6576"/>
              </w:tabs>
              <w:spacing w:line="360" w:lineRule="exact"/>
              <w:ind w:left="3302" w:hanging="3062"/>
              <w:jc w:val="both"/>
              <w:rPr>
                <w:sz w:val="28"/>
              </w:rPr>
            </w:pPr>
            <w:r>
              <w:rPr>
                <w:sz w:val="28"/>
              </w:rPr>
              <w:t>＊統計地區範圍及對象：凡桃園市政府衛生局列管之旅館業、美容美髮業、浴室業、娛樂業、游泳業、電影片映演業及其他均為統計範圍。</w:t>
            </w:r>
          </w:p>
          <w:p w:rsidR="003845B9" w:rsidRDefault="006A7C3E">
            <w:pPr>
              <w:pStyle w:val="Standard"/>
              <w:spacing w:line="360" w:lineRule="exact"/>
              <w:ind w:left="2500" w:hanging="2260"/>
              <w:jc w:val="both"/>
              <w:rPr>
                <w:sz w:val="28"/>
              </w:rPr>
            </w:pPr>
            <w:r>
              <w:rPr>
                <w:sz w:val="28"/>
              </w:rPr>
              <w:t>＊統計標準時間：靜態資料以當月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底之事實為準，動態資料以當月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之事實為準。</w:t>
            </w:r>
          </w:p>
          <w:p w:rsidR="003845B9" w:rsidRDefault="006A7C3E">
            <w:pPr>
              <w:pStyle w:val="Standard"/>
              <w:spacing w:line="360" w:lineRule="exact"/>
              <w:ind w:left="240"/>
              <w:jc w:val="both"/>
              <w:rPr>
                <w:sz w:val="28"/>
              </w:rPr>
            </w:pPr>
            <w:r>
              <w:rPr>
                <w:sz w:val="28"/>
              </w:rPr>
              <w:t>＊統計項目定義：</w:t>
            </w:r>
          </w:p>
          <w:p w:rsidR="003845B9" w:rsidRDefault="006A7C3E">
            <w:pPr>
              <w:pStyle w:val="Standard"/>
              <w:spacing w:line="360" w:lineRule="exact"/>
              <w:ind w:left="2362" w:hanging="1882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</w:rPr>
              <w:t>一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現有家數：係指目前列管家數，含無照營業家數，暫時性休業者仍計入，如游泳業部分廠家於冬天休業。</w:t>
            </w:r>
          </w:p>
          <w:p w:rsidR="003845B9" w:rsidRDefault="006A7C3E">
            <w:pPr>
              <w:pStyle w:val="Standard"/>
              <w:spacing w:line="360" w:lineRule="exact"/>
              <w:ind w:left="2334" w:hanging="18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稽查家數：係指桃園市政府衛生局出勤稽查各業家數；年報家數為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月至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月家數加總。</w:t>
            </w:r>
          </w:p>
          <w:p w:rsidR="003845B9" w:rsidRDefault="006A7C3E">
            <w:pPr>
              <w:pStyle w:val="Standard"/>
              <w:spacing w:line="360" w:lineRule="exact"/>
              <w:ind w:left="2334" w:hanging="1854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三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合格家數：係指桃園市政府衛生局出勤稽查各業家數，凡合格於「營業衛生管理相關規定」者之各業家數</w:t>
            </w:r>
            <w:r>
              <w:rPr>
                <w:sz w:val="28"/>
              </w:rPr>
              <w:t>，</w:t>
            </w:r>
            <w:r>
              <w:rPr>
                <w:sz w:val="28"/>
                <w:szCs w:val="28"/>
              </w:rPr>
              <w:t>同一家稽查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次以上，以最後一次稽查結果判定；年報家數為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月至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月家數加總。</w:t>
            </w:r>
          </w:p>
          <w:p w:rsidR="003845B9" w:rsidRDefault="006A7C3E">
            <w:pPr>
              <w:pStyle w:val="Standard"/>
              <w:spacing w:line="360" w:lineRule="exact"/>
              <w:ind w:left="2418" w:hanging="19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四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稽查家次：係指桃園市政府衛生局出勤稽查</w:t>
            </w:r>
            <w:r>
              <w:rPr>
                <w:sz w:val="28"/>
                <w:szCs w:val="28"/>
              </w:rPr>
              <w:t>各業次數，但稽查家次不包含停歇業家次。稽查家次應大於稽查家數，即同一家於每月可能稽查一次以上。</w:t>
            </w:r>
          </w:p>
          <w:p w:rsidR="003845B9" w:rsidRDefault="006A7C3E">
            <w:pPr>
              <w:pStyle w:val="Standard"/>
              <w:spacing w:line="360" w:lineRule="exact"/>
              <w:ind w:left="2376" w:hanging="18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五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合格次數：係指桃園市政府衛生局稽查各業時，凡合格於「營業衛生管理相關規定」者，即屬合格之次數。</w:t>
            </w:r>
          </w:p>
          <w:p w:rsidR="003845B9" w:rsidRDefault="006A7C3E">
            <w:pPr>
              <w:pStyle w:val="Standard"/>
              <w:spacing w:line="360" w:lineRule="exact"/>
              <w:ind w:left="2922" w:hanging="24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六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輔導改善次數：係指依營業衛生輔導要點規定之情節予以輔導，限期改善之次數。</w:t>
            </w:r>
          </w:p>
          <w:p w:rsidR="003845B9" w:rsidRDefault="006A7C3E">
            <w:pPr>
              <w:pStyle w:val="Standard"/>
              <w:spacing w:line="360" w:lineRule="exact"/>
              <w:ind w:left="1040" w:hanging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r>
              <w:rPr>
                <w:sz w:val="28"/>
                <w:szCs w:val="28"/>
              </w:rPr>
              <w:t>七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旅館業：指經營各式旅館或其他以固定場所供人住宿或休憩之營業。</w:t>
            </w:r>
          </w:p>
          <w:p w:rsidR="003845B9" w:rsidRDefault="006A7C3E">
            <w:pPr>
              <w:pStyle w:val="Standard"/>
              <w:spacing w:line="360" w:lineRule="exact"/>
              <w:ind w:left="2654" w:hanging="2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八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美容美髮業：指經營理髮廳、美容院或其他以固定場所供人理髮、美髮、美容之營業。</w:t>
            </w:r>
          </w:p>
          <w:p w:rsidR="003845B9" w:rsidRDefault="006A7C3E">
            <w:pPr>
              <w:pStyle w:val="Standard"/>
              <w:spacing w:line="360" w:lineRule="exact"/>
              <w:ind w:left="1040" w:hanging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九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浴室業：指經營各式浴室或其他以固定場所供人沐浴之營業。</w:t>
            </w:r>
          </w:p>
          <w:p w:rsidR="003845B9" w:rsidRDefault="006A7C3E">
            <w:pPr>
              <w:pStyle w:val="Standard"/>
              <w:spacing w:line="360" w:lineRule="exact"/>
              <w:ind w:left="2152" w:hanging="16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十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娛樂業：指經營劇院、歌廳、舞廳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場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、遊樂場或其他以固定場所供人視聽、歌唱、跳舞、遊樂之營業。</w:t>
            </w:r>
          </w:p>
          <w:p w:rsidR="003845B9" w:rsidRDefault="006A7C3E">
            <w:pPr>
              <w:pStyle w:val="Standard"/>
              <w:spacing w:line="360" w:lineRule="exact"/>
              <w:ind w:left="2346" w:hanging="1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十一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游泳業：指經營游泳池、海水浴場、河川浴場或其他以固定場所供人游泳之營業。</w:t>
            </w:r>
          </w:p>
          <w:p w:rsidR="003845B9" w:rsidRDefault="006A7C3E">
            <w:pPr>
              <w:pStyle w:val="Standard"/>
              <w:spacing w:line="360" w:lineRule="exact"/>
              <w:ind w:left="1040" w:hanging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十二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電影片映演業：指以發售門票放映電影片為主要業務之營業。</w:t>
            </w:r>
          </w:p>
          <w:p w:rsidR="003845B9" w:rsidRDefault="006A7C3E">
            <w:pPr>
              <w:pStyle w:val="Standard"/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sz w:val="28"/>
              </w:rPr>
              <w:t>＊統計單位：家、次。</w:t>
            </w:r>
          </w:p>
          <w:p w:rsidR="003845B9" w:rsidRDefault="006A7C3E">
            <w:pPr>
              <w:pStyle w:val="Standard"/>
              <w:spacing w:line="360" w:lineRule="exact"/>
              <w:ind w:left="532" w:hanging="280"/>
              <w:jc w:val="both"/>
              <w:rPr>
                <w:sz w:val="28"/>
              </w:rPr>
            </w:pPr>
            <w:r>
              <w:rPr>
                <w:sz w:val="28"/>
              </w:rPr>
              <w:t>＊統計分類：</w:t>
            </w:r>
          </w:p>
          <w:p w:rsidR="003845B9" w:rsidRDefault="006A7C3E">
            <w:pPr>
              <w:pStyle w:val="Standard"/>
              <w:spacing w:line="360" w:lineRule="exact"/>
              <w:ind w:left="2140" w:hanging="15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橫項目：依營業衛生管理之對象分為旅館業、美容美髮業、浴室業、娛樂業（含劇院、歌廳、舞廳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場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、錄影節目帶播映業及其他娛樂業）、游泳業、電影片映演業及其他。</w:t>
            </w:r>
          </w:p>
          <w:p w:rsidR="003845B9" w:rsidRDefault="006A7C3E">
            <w:pPr>
              <w:pStyle w:val="Standard"/>
              <w:spacing w:line="360" w:lineRule="exact"/>
              <w:ind w:left="2140" w:hanging="1554"/>
              <w:jc w:val="both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縱項目：依現有家數、稽查家數、合格家數、稽查家次、合格次數、輔導改善次數分類。</w:t>
            </w:r>
          </w:p>
          <w:p w:rsidR="003845B9" w:rsidRDefault="006A7C3E">
            <w:pPr>
              <w:pStyle w:val="Standard"/>
              <w:spacing w:line="360" w:lineRule="exact"/>
              <w:ind w:firstLine="280"/>
              <w:jc w:val="both"/>
            </w:pPr>
            <w:r>
              <w:rPr>
                <w:sz w:val="28"/>
              </w:rPr>
              <w:t>＊發布週期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</w:rPr>
              <w:t>指資料編製或產生之頻率，如月、季、年等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：月、年。</w:t>
            </w:r>
          </w:p>
          <w:p w:rsidR="003845B9" w:rsidRDefault="006A7C3E">
            <w:pPr>
              <w:pStyle w:val="Standard"/>
              <w:spacing w:line="360" w:lineRule="exact"/>
              <w:ind w:left="6912" w:hanging="6634"/>
              <w:jc w:val="both"/>
            </w:pPr>
            <w:r>
              <w:rPr>
                <w:sz w:val="28"/>
              </w:rPr>
              <w:t>＊時效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</w:rPr>
              <w:t>指統計標準時間至資料發布時間之間隔時間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：月報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日、年報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個月又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日。</w:t>
            </w:r>
          </w:p>
          <w:p w:rsidR="003845B9" w:rsidRDefault="006A7C3E">
            <w:pPr>
              <w:pStyle w:val="Standard"/>
              <w:spacing w:line="360" w:lineRule="exact"/>
              <w:ind w:left="520" w:hanging="280"/>
              <w:jc w:val="both"/>
              <w:rPr>
                <w:sz w:val="28"/>
              </w:rPr>
            </w:pPr>
            <w:r>
              <w:rPr>
                <w:sz w:val="28"/>
              </w:rPr>
              <w:t>＊資料變革：無。</w:t>
            </w:r>
          </w:p>
          <w:p w:rsidR="003845B9" w:rsidRDefault="006A7C3E">
            <w:pPr>
              <w:pStyle w:val="Standard"/>
              <w:spacing w:before="180"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四、公開資料發布訊息</w:t>
            </w:r>
          </w:p>
          <w:p w:rsidR="003845B9" w:rsidRDefault="006A7C3E">
            <w:pPr>
              <w:pStyle w:val="Standard"/>
              <w:spacing w:line="360" w:lineRule="exact"/>
              <w:ind w:left="520" w:hanging="280"/>
              <w:jc w:val="both"/>
            </w:pPr>
            <w:r>
              <w:rPr>
                <w:sz w:val="28"/>
              </w:rPr>
              <w:t>＊預告發布日期（含預告方式及週期）：月報於每月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日</w:t>
            </w:r>
            <w:r>
              <w:rPr>
                <w:rFonts w:cs="標楷體"/>
                <w:sz w:val="28"/>
              </w:rPr>
              <w:t>、</w:t>
            </w:r>
            <w:r>
              <w:rPr>
                <w:sz w:val="28"/>
              </w:rPr>
              <w:t>年報於次年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日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遇假日順延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以報表、網際網路發布。</w:t>
            </w:r>
          </w:p>
          <w:p w:rsidR="003845B9" w:rsidRDefault="006A7C3E">
            <w:pPr>
              <w:pStyle w:val="Standard"/>
              <w:spacing w:line="360" w:lineRule="exact"/>
              <w:ind w:left="520" w:hanging="280"/>
              <w:jc w:val="both"/>
            </w:pPr>
            <w:r>
              <w:rPr>
                <w:sz w:val="28"/>
              </w:rPr>
              <w:t>＊同步發送單位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</w:rPr>
              <w:t>說明資料發布時同步發送之單位或可同步查得該資料之網址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：桃園市政府主計處。</w:t>
            </w:r>
          </w:p>
          <w:p w:rsidR="003845B9" w:rsidRDefault="006A7C3E">
            <w:pPr>
              <w:pStyle w:val="Standard"/>
              <w:spacing w:before="180"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五、資料品質</w:t>
            </w:r>
          </w:p>
          <w:p w:rsidR="003845B9" w:rsidRDefault="006A7C3E">
            <w:pPr>
              <w:pStyle w:val="Standard"/>
              <w:spacing w:line="360" w:lineRule="exact"/>
              <w:ind w:left="520" w:hanging="280"/>
              <w:jc w:val="both"/>
              <w:rPr>
                <w:sz w:val="28"/>
              </w:rPr>
            </w:pPr>
            <w:r>
              <w:rPr>
                <w:sz w:val="28"/>
              </w:rPr>
              <w:t>＊統計指標編製方法與資料來源說</w:t>
            </w:r>
            <w:r>
              <w:rPr>
                <w:sz w:val="28"/>
              </w:rPr>
              <w:t>明：依據桃園市政府衛生局疾病管制科資料彙編。</w:t>
            </w:r>
          </w:p>
          <w:p w:rsidR="003845B9" w:rsidRDefault="006A7C3E">
            <w:pPr>
              <w:pStyle w:val="Standard"/>
              <w:spacing w:line="360" w:lineRule="exact"/>
              <w:ind w:left="520" w:hanging="280"/>
              <w:jc w:val="both"/>
              <w:rPr>
                <w:sz w:val="28"/>
              </w:rPr>
            </w:pPr>
            <w:r>
              <w:rPr>
                <w:sz w:val="28"/>
              </w:rPr>
              <w:t>＊統計資料交叉查核及確保資料合理性之機制（說明各項資料之相互關係及不同資料來源之相關統計差異性）：</w:t>
            </w:r>
          </w:p>
          <w:p w:rsidR="003845B9" w:rsidRDefault="006A7C3E">
            <w:pPr>
              <w:pStyle w:val="Standard"/>
              <w:tabs>
                <w:tab w:val="left" w:pos="9606"/>
              </w:tabs>
              <w:spacing w:line="360" w:lineRule="exact"/>
              <w:ind w:left="1086" w:hanging="560"/>
              <w:jc w:val="both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總計欄為旅館業、美容美髮業、浴室業、娛樂業、游泳業、電影業映演業及其他項之加總。</w:t>
            </w:r>
          </w:p>
          <w:p w:rsidR="003845B9" w:rsidRDefault="006A7C3E">
            <w:pPr>
              <w:pStyle w:val="Standard"/>
              <w:spacing w:line="360" w:lineRule="exact"/>
              <w:ind w:left="518" w:firstLine="6"/>
              <w:jc w:val="both"/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二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現有家數</w:t>
            </w:r>
            <w:r>
              <w:rPr>
                <w:sz w:val="28"/>
              </w:rPr>
              <w:t>≧</w:t>
            </w:r>
            <w:r>
              <w:rPr>
                <w:sz w:val="28"/>
              </w:rPr>
              <w:t>稽查家數</w:t>
            </w:r>
            <w:r>
              <w:rPr>
                <w:sz w:val="28"/>
              </w:rPr>
              <w:t>≧</w:t>
            </w:r>
            <w:r>
              <w:rPr>
                <w:sz w:val="28"/>
              </w:rPr>
              <w:t>合格家數。</w:t>
            </w:r>
          </w:p>
          <w:p w:rsidR="003845B9" w:rsidRDefault="006A7C3E">
            <w:pPr>
              <w:pStyle w:val="Standard"/>
              <w:spacing w:line="360" w:lineRule="exact"/>
              <w:ind w:left="518" w:firstLine="6"/>
              <w:jc w:val="both"/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三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稽查家次</w:t>
            </w:r>
            <w:r>
              <w:rPr>
                <w:sz w:val="28"/>
              </w:rPr>
              <w:t>≧</w:t>
            </w:r>
            <w:r>
              <w:rPr>
                <w:sz w:val="28"/>
              </w:rPr>
              <w:t>稽查家數；稽查家次</w:t>
            </w:r>
            <w:r>
              <w:rPr>
                <w:sz w:val="28"/>
              </w:rPr>
              <w:t>≧</w:t>
            </w:r>
            <w:r>
              <w:rPr>
                <w:sz w:val="28"/>
              </w:rPr>
              <w:t>合格次數。</w:t>
            </w:r>
          </w:p>
          <w:p w:rsidR="003845B9" w:rsidRDefault="006A7C3E">
            <w:pPr>
              <w:pStyle w:val="Standard"/>
              <w:spacing w:line="360" w:lineRule="exact"/>
              <w:ind w:left="518" w:firstLine="6"/>
              <w:jc w:val="both"/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四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稽查家次</w:t>
            </w:r>
            <w:r>
              <w:rPr>
                <w:sz w:val="28"/>
              </w:rPr>
              <w:t>=</w:t>
            </w:r>
            <w:r>
              <w:rPr>
                <w:sz w:val="28"/>
              </w:rPr>
              <w:t>合格次數＋輔導改善次數。</w:t>
            </w:r>
          </w:p>
          <w:p w:rsidR="003845B9" w:rsidRDefault="006A7C3E">
            <w:pPr>
              <w:pStyle w:val="Standard"/>
              <w:spacing w:before="180" w:line="360" w:lineRule="exact"/>
              <w:ind w:left="560" w:hanging="560"/>
              <w:jc w:val="both"/>
              <w:rPr>
                <w:sz w:val="28"/>
              </w:rPr>
            </w:pPr>
            <w:r>
              <w:rPr>
                <w:sz w:val="28"/>
              </w:rPr>
              <w:t>六、須注意及預定改變之事項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說明預定修正之資料、定義、統計方法等及其修正原因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：無。</w:t>
            </w:r>
          </w:p>
          <w:p w:rsidR="003845B9" w:rsidRDefault="006A7C3E">
            <w:pPr>
              <w:pStyle w:val="Standard"/>
              <w:spacing w:before="180"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七、其他事項：無。</w:t>
            </w:r>
          </w:p>
        </w:tc>
      </w:tr>
    </w:tbl>
    <w:p w:rsidR="003845B9" w:rsidRDefault="003845B9">
      <w:pPr>
        <w:pStyle w:val="Standard"/>
        <w:rPr>
          <w:rFonts w:eastAsia="Symbol"/>
        </w:rPr>
      </w:pPr>
    </w:p>
    <w:sectPr w:rsidR="003845B9">
      <w:pgSz w:w="11906" w:h="16838"/>
      <w:pgMar w:top="900" w:right="746" w:bottom="720" w:left="180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7C3E">
      <w:pPr>
        <w:rPr>
          <w:rFonts w:hint="eastAsia"/>
        </w:rPr>
      </w:pPr>
      <w:r>
        <w:separator/>
      </w:r>
    </w:p>
  </w:endnote>
  <w:endnote w:type="continuationSeparator" w:id="0">
    <w:p w:rsidR="00000000" w:rsidRDefault="006A7C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7C3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6A7C3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1EFF"/>
    <w:multiLevelType w:val="multilevel"/>
    <w:tmpl w:val="97DC63C8"/>
    <w:styleLink w:val="WW8Num5"/>
    <w:lvl w:ilvl="0">
      <w:start w:val="1"/>
      <w:numFmt w:val="japaneseCounting"/>
      <w:pStyle w:val="a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B841877"/>
    <w:multiLevelType w:val="multilevel"/>
    <w:tmpl w:val="6C488A36"/>
    <w:styleLink w:val="WW8Num1"/>
    <w:lvl w:ilvl="0">
      <w:start w:val="1"/>
      <w:numFmt w:val="japaneseCounting"/>
      <w:pStyle w:val="1"/>
      <w:lvlText w:val="第%1章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DB72CA"/>
    <w:multiLevelType w:val="multilevel"/>
    <w:tmpl w:val="F774A40E"/>
    <w:styleLink w:val="WW8Num4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4141089"/>
    <w:multiLevelType w:val="multilevel"/>
    <w:tmpl w:val="19E84678"/>
    <w:styleLink w:val="WW8Num2"/>
    <w:lvl w:ilvl="0">
      <w:start w:val="1"/>
      <w:numFmt w:val="japaneseCounting"/>
      <w:lvlText w:val="%1、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9A74FD5"/>
    <w:multiLevelType w:val="multilevel"/>
    <w:tmpl w:val="B17C5F40"/>
    <w:styleLink w:val="WW8Num3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45B9"/>
    <w:rsid w:val="003845B9"/>
    <w:rsid w:val="006A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List Paragraph"/>
    <w:basedOn w:val="Standard"/>
    <w:pPr>
      <w:ind w:left="480"/>
    </w:pPr>
  </w:style>
  <w:style w:type="paragraph" w:customStyle="1" w:styleId="1">
    <w:name w:val="1.章"/>
    <w:basedOn w:val="a6"/>
    <w:pPr>
      <w:numPr>
        <w:numId w:val="1"/>
      </w:numPr>
    </w:pPr>
    <w:rPr>
      <w:rFonts w:ascii="Times New Roman" w:hAnsi="Times New Roman" w:cs="標楷體"/>
      <w:sz w:val="32"/>
      <w:szCs w:val="32"/>
    </w:rPr>
  </w:style>
  <w:style w:type="paragraph" w:customStyle="1" w:styleId="a">
    <w:name w:val="節"/>
    <w:basedOn w:val="a6"/>
    <w:pPr>
      <w:numPr>
        <w:numId w:val="5"/>
      </w:numPr>
    </w:pPr>
    <w:rPr>
      <w:rFonts w:ascii="Times New Roman" w:hAnsi="Times New Roman" w:cs="標楷體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9">
    <w:name w:val="清單段落 字元"/>
    <w:rPr>
      <w:kern w:val="3"/>
      <w:sz w:val="24"/>
      <w:szCs w:val="22"/>
    </w:rPr>
  </w:style>
  <w:style w:type="character" w:customStyle="1" w:styleId="10">
    <w:name w:val="1.章 字元"/>
    <w:rPr>
      <w:rFonts w:ascii="Times New Roman" w:eastAsia="標楷體" w:hAnsi="Times New Roman" w:cs="標楷體"/>
      <w:kern w:val="3"/>
      <w:sz w:val="32"/>
      <w:szCs w:val="32"/>
    </w:rPr>
  </w:style>
  <w:style w:type="character" w:customStyle="1" w:styleId="aa">
    <w:name w:val="節 字元"/>
    <w:rPr>
      <w:rFonts w:ascii="Times New Roman" w:eastAsia="標楷體" w:hAnsi="Times New Roman" w:cs="標楷體"/>
      <w:kern w:val="3"/>
      <w:sz w:val="24"/>
      <w:szCs w:val="22"/>
    </w:rPr>
  </w:style>
  <w:style w:type="character" w:customStyle="1" w:styleId="ab">
    <w:name w:val="頁首 字元"/>
    <w:rPr>
      <w:rFonts w:ascii="標楷體" w:eastAsia="標楷體" w:hAnsi="標楷體" w:cs="標楷體"/>
      <w:kern w:val="3"/>
    </w:rPr>
  </w:style>
  <w:style w:type="character" w:customStyle="1" w:styleId="ac">
    <w:name w:val="頁尾 字元"/>
    <w:rPr>
      <w:rFonts w:ascii="標楷體" w:eastAsia="標楷體" w:hAnsi="標楷體" w:cs="標楷體"/>
      <w:kern w:val="3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List Paragraph"/>
    <w:basedOn w:val="Standard"/>
    <w:pPr>
      <w:ind w:left="480"/>
    </w:pPr>
  </w:style>
  <w:style w:type="paragraph" w:customStyle="1" w:styleId="1">
    <w:name w:val="1.章"/>
    <w:basedOn w:val="a6"/>
    <w:pPr>
      <w:numPr>
        <w:numId w:val="1"/>
      </w:numPr>
    </w:pPr>
    <w:rPr>
      <w:rFonts w:ascii="Times New Roman" w:hAnsi="Times New Roman" w:cs="標楷體"/>
      <w:sz w:val="32"/>
      <w:szCs w:val="32"/>
    </w:rPr>
  </w:style>
  <w:style w:type="paragraph" w:customStyle="1" w:styleId="a">
    <w:name w:val="節"/>
    <w:basedOn w:val="a6"/>
    <w:pPr>
      <w:numPr>
        <w:numId w:val="5"/>
      </w:numPr>
    </w:pPr>
    <w:rPr>
      <w:rFonts w:ascii="Times New Roman" w:hAnsi="Times New Roman" w:cs="標楷體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9">
    <w:name w:val="清單段落 字元"/>
    <w:rPr>
      <w:kern w:val="3"/>
      <w:sz w:val="24"/>
      <w:szCs w:val="22"/>
    </w:rPr>
  </w:style>
  <w:style w:type="character" w:customStyle="1" w:styleId="10">
    <w:name w:val="1.章 字元"/>
    <w:rPr>
      <w:rFonts w:ascii="Times New Roman" w:eastAsia="標楷體" w:hAnsi="Times New Roman" w:cs="標楷體"/>
      <w:kern w:val="3"/>
      <w:sz w:val="32"/>
      <w:szCs w:val="32"/>
    </w:rPr>
  </w:style>
  <w:style w:type="character" w:customStyle="1" w:styleId="aa">
    <w:name w:val="節 字元"/>
    <w:rPr>
      <w:rFonts w:ascii="Times New Roman" w:eastAsia="標楷體" w:hAnsi="Times New Roman" w:cs="標楷體"/>
      <w:kern w:val="3"/>
      <w:sz w:val="24"/>
      <w:szCs w:val="22"/>
    </w:rPr>
  </w:style>
  <w:style w:type="character" w:customStyle="1" w:styleId="ab">
    <w:name w:val="頁首 字元"/>
    <w:rPr>
      <w:rFonts w:ascii="標楷體" w:eastAsia="標楷體" w:hAnsi="標楷體" w:cs="標楷體"/>
      <w:kern w:val="3"/>
    </w:rPr>
  </w:style>
  <w:style w:type="character" w:customStyle="1" w:styleId="ac">
    <w:name w:val="頁尾 字元"/>
    <w:rPr>
      <w:rFonts w:ascii="標楷體" w:eastAsia="標楷體" w:hAnsi="標楷體" w:cs="標楷體"/>
      <w:kern w:val="3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Company>WORKGROUP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creator>Damita</dc:creator>
  <cp:lastModifiedBy>WS2016_AP2</cp:lastModifiedBy>
  <cp:revision>2</cp:revision>
  <cp:lastPrinted>2014-12-01T13:34:00Z</cp:lastPrinted>
  <dcterms:created xsi:type="dcterms:W3CDTF">2021-10-26T03:36:00Z</dcterms:created>
  <dcterms:modified xsi:type="dcterms:W3CDTF">2021-10-26T03:36:00Z</dcterms:modified>
</cp:coreProperties>
</file>