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E11FC" w:rsidRPr="0005601F" w:rsidTr="002549D9">
        <w:trPr>
          <w:trHeight w:val="13038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E11FC" w:rsidRPr="000F7006" w:rsidRDefault="005E11FC" w:rsidP="003E4914">
            <w:pPr>
              <w:spacing w:line="360" w:lineRule="exact"/>
              <w:jc w:val="center"/>
              <w:rPr>
                <w:rFonts w:hAnsi="標楷體"/>
                <w:b/>
                <w:bCs/>
                <w:color w:val="000000" w:themeColor="text1"/>
                <w:spacing w:val="-4"/>
                <w:szCs w:val="24"/>
              </w:rPr>
            </w:pPr>
            <w:bookmarkStart w:id="0" w:name="_GoBack" w:colFirst="0" w:colLast="0"/>
            <w:r w:rsidRPr="000F7006">
              <w:rPr>
                <w:rFonts w:hAnsi="標楷體" w:hint="eastAsia"/>
                <w:b/>
                <w:bCs/>
                <w:color w:val="000000" w:themeColor="text1"/>
                <w:spacing w:val="-4"/>
                <w:szCs w:val="24"/>
              </w:rPr>
              <w:t>統計資料背景說明</w:t>
            </w:r>
          </w:p>
          <w:p w:rsidR="005E11FC" w:rsidRPr="000F7006" w:rsidRDefault="005E11FC" w:rsidP="003E4914">
            <w:pPr>
              <w:spacing w:line="360" w:lineRule="exact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資料種類：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營造業及建築</w:t>
            </w:r>
            <w:r w:rsidR="005D63F4" w:rsidRPr="000F7006">
              <w:rPr>
                <w:rFonts w:hAnsi="標楷體" w:hint="eastAsia"/>
                <w:color w:val="000000" w:themeColor="text1"/>
                <w:szCs w:val="24"/>
              </w:rPr>
              <w:t>統計</w:t>
            </w:r>
          </w:p>
          <w:p w:rsidR="005E11FC" w:rsidRPr="000F7006" w:rsidRDefault="005E11FC" w:rsidP="003E4914">
            <w:pPr>
              <w:spacing w:line="360" w:lineRule="exact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資料項目：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桃園市停車場新建工程</w:t>
            </w:r>
          </w:p>
          <w:p w:rsidR="005E11FC" w:rsidRPr="000F7006" w:rsidRDefault="005E11FC" w:rsidP="003E4914">
            <w:pPr>
              <w:spacing w:line="360" w:lineRule="exact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一、發布及編製機關單位</w:t>
            </w:r>
          </w:p>
          <w:p w:rsidR="005E11FC" w:rsidRPr="000F7006" w:rsidRDefault="005E11FC" w:rsidP="003E4914">
            <w:pPr>
              <w:spacing w:line="360" w:lineRule="exact"/>
              <w:ind w:left="720" w:hanging="42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＊發布機關、單位：桃園</w:t>
            </w:r>
            <w:r w:rsidR="005202A3" w:rsidRPr="000F7006">
              <w:rPr>
                <w:rFonts w:hAnsi="標楷體" w:hint="eastAsia"/>
                <w:color w:val="000000" w:themeColor="text1"/>
                <w:szCs w:val="24"/>
              </w:rPr>
              <w:t>市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政府交通局會計室</w:t>
            </w:r>
          </w:p>
          <w:p w:rsidR="005D63F4" w:rsidRPr="000F7006" w:rsidRDefault="005E11FC" w:rsidP="005D63F4">
            <w:pPr>
              <w:spacing w:line="360" w:lineRule="exact"/>
              <w:ind w:left="720" w:hanging="42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＊編製單位：</w:t>
            </w:r>
            <w:r w:rsidR="005D63F4" w:rsidRPr="000F7006">
              <w:rPr>
                <w:rFonts w:hAnsi="標楷體" w:hint="eastAsia"/>
                <w:color w:val="000000" w:themeColor="text1"/>
                <w:szCs w:val="24"/>
              </w:rPr>
              <w:t>桃園市政府交通局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停車管理工程科</w:t>
            </w:r>
          </w:p>
          <w:p w:rsidR="005D63F4" w:rsidRPr="000F7006" w:rsidRDefault="005E11FC" w:rsidP="005D63F4">
            <w:pPr>
              <w:spacing w:line="360" w:lineRule="exact"/>
              <w:ind w:left="720" w:hanging="42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＊聯絡電話：(03)</w:t>
            </w:r>
            <w:r w:rsidR="005D63F4" w:rsidRPr="000F7006">
              <w:rPr>
                <w:rFonts w:hAnsi="標楷體"/>
                <w:color w:val="000000" w:themeColor="text1"/>
                <w:szCs w:val="24"/>
              </w:rPr>
              <w:t xml:space="preserve"> 3322101 </w:t>
            </w:r>
            <w:r w:rsidR="005D63F4" w:rsidRPr="000F7006">
              <w:rPr>
                <w:rFonts w:hAnsi="標楷體" w:hint="eastAsia"/>
                <w:color w:val="000000" w:themeColor="text1"/>
                <w:szCs w:val="24"/>
              </w:rPr>
              <w:t>分機</w:t>
            </w:r>
            <w:r w:rsidR="005D63F4" w:rsidRPr="000F7006">
              <w:rPr>
                <w:rFonts w:hAnsi="標楷體"/>
                <w:color w:val="000000" w:themeColor="text1"/>
                <w:szCs w:val="24"/>
              </w:rPr>
              <w:t>687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6</w:t>
            </w:r>
          </w:p>
          <w:p w:rsidR="005E11FC" w:rsidRPr="000F7006" w:rsidRDefault="005E11FC" w:rsidP="005D63F4">
            <w:pPr>
              <w:spacing w:line="360" w:lineRule="exact"/>
              <w:ind w:left="720" w:hanging="42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＊傳真：03-</w:t>
            </w:r>
            <w:r w:rsidRPr="000F7006">
              <w:rPr>
                <w:rFonts w:hAnsi="標楷體"/>
                <w:color w:val="000000" w:themeColor="text1"/>
                <w:szCs w:val="24"/>
              </w:rPr>
              <w:t>3393065</w:t>
            </w:r>
          </w:p>
          <w:p w:rsidR="00063B66" w:rsidRPr="000F7006" w:rsidRDefault="005E11FC" w:rsidP="00063B66">
            <w:pPr>
              <w:spacing w:line="360" w:lineRule="exact"/>
              <w:ind w:left="720" w:hanging="42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＊電子信箱：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097080@mail.tycg.gov.tw</w:t>
            </w:r>
          </w:p>
          <w:p w:rsidR="005E11FC" w:rsidRPr="000F7006" w:rsidRDefault="005E11FC" w:rsidP="003E4914">
            <w:pPr>
              <w:spacing w:line="360" w:lineRule="exact"/>
              <w:ind w:left="540" w:hanging="540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二、發布形式</w:t>
            </w:r>
          </w:p>
          <w:p w:rsidR="005E11FC" w:rsidRPr="000F7006" w:rsidRDefault="005E11FC" w:rsidP="003E491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口頭：</w:t>
            </w:r>
          </w:p>
          <w:p w:rsidR="005E11FC" w:rsidRPr="000F7006" w:rsidRDefault="005E11FC" w:rsidP="003E4914">
            <w:pPr>
              <w:spacing w:line="360" w:lineRule="exact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 xml:space="preserve">        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（ ）記者會或說明會</w:t>
            </w:r>
          </w:p>
          <w:p w:rsidR="005E11FC" w:rsidRPr="000F7006" w:rsidRDefault="005E11FC" w:rsidP="003E491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書面：</w:t>
            </w:r>
          </w:p>
          <w:p w:rsidR="005E11FC" w:rsidRPr="000F7006" w:rsidRDefault="005E11FC" w:rsidP="003E4914">
            <w:pPr>
              <w:spacing w:line="360" w:lineRule="exact"/>
              <w:ind w:left="29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 xml:space="preserve">      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（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）新聞稿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 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（）報表  （ ）書刊，刊名：</w:t>
            </w:r>
          </w:p>
          <w:p w:rsidR="005E11FC" w:rsidRPr="000F7006" w:rsidRDefault="005E11FC" w:rsidP="003E4914">
            <w:pPr>
              <w:spacing w:line="360" w:lineRule="exact"/>
              <w:ind w:left="29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＊電子媒體：</w:t>
            </w:r>
          </w:p>
          <w:p w:rsidR="005E11FC" w:rsidRPr="000F7006" w:rsidRDefault="005E11FC" w:rsidP="003E4914">
            <w:pPr>
              <w:spacing w:line="360" w:lineRule="exact"/>
              <w:ind w:left="966" w:right="-328" w:hanging="29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（</w:t>
            </w:r>
            <w:r w:rsidR="005263EC" w:rsidRPr="000F700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）線上書刊及資料庫，網址：</w:t>
            </w:r>
          </w:p>
          <w:p w:rsidR="005E11FC" w:rsidRPr="000F7006" w:rsidRDefault="005E11FC" w:rsidP="003E4914">
            <w:pPr>
              <w:spacing w:line="360" w:lineRule="exact"/>
              <w:ind w:left="966" w:right="-328" w:hanging="29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（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）磁片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 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（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）光碟片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 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（</w:t>
            </w:r>
            <w:r w:rsidRPr="000F7006">
              <w:rPr>
                <w:rFonts w:hAnsi="標楷體"/>
                <w:color w:val="000000" w:themeColor="text1"/>
                <w:szCs w:val="24"/>
              </w:rPr>
              <w:t xml:space="preserve"> </w:t>
            </w:r>
            <w:r w:rsidR="00F90175" w:rsidRPr="000F7006">
              <w:rPr>
                <w:rFonts w:hAnsi="標楷體" w:hint="eastAsia"/>
                <w:color w:val="000000" w:themeColor="text1"/>
                <w:szCs w:val="24"/>
              </w:rPr>
              <w:t>v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）其他</w:t>
            </w:r>
          </w:p>
          <w:p w:rsidR="00F90175" w:rsidRPr="000F7006" w:rsidRDefault="00F90175" w:rsidP="00F90175">
            <w:pPr>
              <w:spacing w:line="360" w:lineRule="exact"/>
              <w:ind w:left="966" w:right="-328" w:hanging="294"/>
              <w:jc w:val="both"/>
              <w:rPr>
                <w:color w:val="000000" w:themeColor="text1"/>
                <w:szCs w:val="24"/>
              </w:rPr>
            </w:pPr>
            <w:r w:rsidRPr="000F7006">
              <w:rPr>
                <w:rFonts w:hint="eastAsia"/>
                <w:color w:val="000000" w:themeColor="text1"/>
                <w:kern w:val="0"/>
                <w:szCs w:val="24"/>
              </w:rPr>
              <w:t>Open Document File (odf)</w:t>
            </w:r>
            <w:r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、</w:t>
            </w:r>
            <w:r w:rsidRPr="000F7006">
              <w:rPr>
                <w:rFonts w:hint="eastAsia"/>
                <w:color w:val="000000" w:themeColor="text1"/>
                <w:kern w:val="0"/>
                <w:szCs w:val="24"/>
              </w:rPr>
              <w:t xml:space="preserve">Portable Document Format (pdf) </w:t>
            </w:r>
            <w:r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或</w:t>
            </w:r>
            <w:r w:rsidRPr="000F7006">
              <w:rPr>
                <w:rFonts w:hint="eastAsia"/>
                <w:color w:val="000000" w:themeColor="text1"/>
                <w:kern w:val="0"/>
                <w:szCs w:val="24"/>
              </w:rPr>
              <w:t>Excel</w:t>
            </w:r>
            <w:r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檔案。</w:t>
            </w:r>
          </w:p>
          <w:p w:rsidR="00F90175" w:rsidRPr="000F7006" w:rsidRDefault="00F90175" w:rsidP="003E4914">
            <w:pPr>
              <w:spacing w:line="360" w:lineRule="exact"/>
              <w:ind w:left="966" w:right="-328" w:hanging="294"/>
              <w:jc w:val="both"/>
              <w:rPr>
                <w:rFonts w:hAnsi="標楷體"/>
                <w:color w:val="000000" w:themeColor="text1"/>
                <w:szCs w:val="24"/>
              </w:rPr>
            </w:pPr>
          </w:p>
          <w:p w:rsidR="005E11FC" w:rsidRPr="000F7006" w:rsidRDefault="005E11FC" w:rsidP="003E4914">
            <w:pPr>
              <w:spacing w:before="240" w:line="360" w:lineRule="exact"/>
              <w:ind w:left="616" w:hanging="61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三、資料範圍、週期及時效</w:t>
            </w:r>
          </w:p>
          <w:p w:rsidR="005E11FC" w:rsidRPr="000F7006" w:rsidRDefault="005E11FC" w:rsidP="0005601F">
            <w:pPr>
              <w:spacing w:line="360" w:lineRule="exact"/>
              <w:ind w:leftChars="123" w:left="2966" w:hangingChars="1113" w:hanging="2671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＊統計地區範圍及對象：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包括桃園市</w:t>
            </w:r>
            <w:r w:rsidR="00063B66" w:rsidRPr="000F7006">
              <w:rPr>
                <w:rFonts w:hAnsi="標楷體" w:cs="DFKaiShu-SB-Estd-BF" w:hint="eastAsia"/>
                <w:kern w:val="0"/>
                <w:szCs w:val="24"/>
              </w:rPr>
              <w:t>轄區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內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新闢之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路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外停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車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場工程費、面積、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車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位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數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、開工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年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月統計。</w:t>
            </w:r>
          </w:p>
          <w:p w:rsidR="005E11FC" w:rsidRPr="000F7006" w:rsidRDefault="005E11FC" w:rsidP="00566A05">
            <w:pPr>
              <w:spacing w:line="360" w:lineRule="exact"/>
              <w:ind w:leftChars="116" w:left="3038" w:hangingChars="1150" w:hanging="2760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＊統計標準時間：</w:t>
            </w:r>
            <w:r w:rsidR="00063B66" w:rsidRPr="000F7006">
              <w:rPr>
                <w:rFonts w:hAnsi="標楷體" w:cs="DFKaiShu-SB-Estd-BF" w:hint="eastAsia"/>
                <w:kern w:val="0"/>
                <w:szCs w:val="24"/>
              </w:rPr>
              <w:t>以每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年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底之事實為準。</w:t>
            </w:r>
          </w:p>
          <w:p w:rsidR="00566A05" w:rsidRPr="000F7006" w:rsidRDefault="005E11FC" w:rsidP="00566A05">
            <w:pPr>
              <w:spacing w:line="360" w:lineRule="exact"/>
              <w:ind w:leftChars="116" w:left="3038" w:hangingChars="1150" w:hanging="2760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＊統計項目定義：</w:t>
            </w:r>
          </w:p>
          <w:p w:rsidR="00063B66" w:rsidRPr="000F7006" w:rsidRDefault="00063B66" w:rsidP="00063B66">
            <w:pPr>
              <w:spacing w:line="360" w:lineRule="exact"/>
              <w:ind w:leftChars="243" w:left="2767" w:hangingChars="910" w:hanging="218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一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工程費</w:t>
            </w: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元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：係以工程完工金額計算之。</w:t>
            </w:r>
          </w:p>
          <w:p w:rsidR="00063B66" w:rsidRPr="000F7006" w:rsidRDefault="00063B66" w:rsidP="00063B66">
            <w:pPr>
              <w:spacing w:line="360" w:lineRule="exact"/>
              <w:ind w:leftChars="243" w:left="2767" w:hangingChars="910" w:hanging="218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二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總面積：平面式停車場邊界內總面積。</w:t>
            </w:r>
          </w:p>
          <w:p w:rsidR="00063B66" w:rsidRPr="000F7006" w:rsidRDefault="00063B66" w:rsidP="00063B66">
            <w:pPr>
              <w:spacing w:line="360" w:lineRule="exact"/>
              <w:ind w:leftChars="243" w:left="2767" w:hangingChars="910" w:hanging="218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三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層數：立體式停車場樓層數量。</w:t>
            </w:r>
          </w:p>
          <w:p w:rsidR="00063B66" w:rsidRPr="000F7006" w:rsidRDefault="00063B66" w:rsidP="00063B66">
            <w:pPr>
              <w:spacing w:line="360" w:lineRule="exact"/>
              <w:ind w:leftChars="243" w:left="2767" w:hangingChars="910" w:hanging="2184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四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總樓地板面積：建築物各層樓地板面積總和。</w:t>
            </w:r>
          </w:p>
          <w:p w:rsidR="00063B66" w:rsidRPr="000F7006" w:rsidRDefault="00063B66" w:rsidP="00063B66">
            <w:pPr>
              <w:spacing w:line="360" w:lineRule="exact"/>
              <w:ind w:leftChars="241" w:left="3007" w:hangingChars="1012" w:hanging="2429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五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停車位數</w:t>
            </w: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機車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：可供普通重型機車、普通輕型機車、小型輕型機車及電動機車停放格位數量。</w:t>
            </w:r>
          </w:p>
          <w:p w:rsidR="00063B66" w:rsidRPr="000F7006" w:rsidRDefault="00063B66" w:rsidP="00063B66">
            <w:pPr>
              <w:spacing w:line="360" w:lineRule="exact"/>
              <w:ind w:leftChars="242" w:left="2890" w:hangingChars="962" w:hanging="2309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六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停車位數</w:t>
            </w:r>
            <w:r w:rsidRPr="000F7006">
              <w:rPr>
                <w:rFonts w:hAnsi="標楷體"/>
                <w:color w:val="000000" w:themeColor="text1"/>
                <w:szCs w:val="24"/>
              </w:rPr>
              <w:t>(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汽車</w:t>
            </w:r>
            <w:r w:rsidRPr="000F7006">
              <w:rPr>
                <w:rFonts w:hAnsi="標楷體"/>
                <w:color w:val="000000" w:themeColor="text1"/>
                <w:szCs w:val="24"/>
              </w:rPr>
              <w:t>)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：可供汽車、大型重型機車停放格位數量。</w:t>
            </w:r>
          </w:p>
          <w:p w:rsidR="005E11FC" w:rsidRPr="000F7006" w:rsidRDefault="005E11FC" w:rsidP="00063B66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＊統計單位：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元、平方公尺、層、位、民國年/月份</w:t>
            </w:r>
            <w:r w:rsidR="00566A05" w:rsidRPr="000F7006">
              <w:rPr>
                <w:rFonts w:hAnsi="標楷體" w:hint="eastAsia"/>
                <w:color w:val="000000" w:themeColor="text1"/>
                <w:szCs w:val="24"/>
              </w:rPr>
              <w:t>。</w:t>
            </w:r>
          </w:p>
          <w:p w:rsidR="00F160B8" w:rsidRPr="000F7006" w:rsidRDefault="005E11FC" w:rsidP="0044511A">
            <w:pPr>
              <w:spacing w:line="360" w:lineRule="exact"/>
              <w:ind w:left="1837" w:hanging="1588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＊統計分類：</w:t>
            </w:r>
          </w:p>
          <w:p w:rsidR="00F160B8" w:rsidRPr="000F7006" w:rsidRDefault="00CF2171" w:rsidP="00566A05">
            <w:pPr>
              <w:spacing w:line="360" w:lineRule="exact"/>
              <w:ind w:leftChars="450" w:left="1800" w:hangingChars="300" w:hanging="720"/>
              <w:rPr>
                <w:rFonts w:hAnsi="標楷體"/>
                <w:color w:val="000000" w:themeColor="text1"/>
                <w:kern w:val="0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縱</w:t>
            </w:r>
            <w:r w:rsidR="005263EC"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項目</w:t>
            </w:r>
            <w:r w:rsidR="00F160B8"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：</w:t>
            </w:r>
            <w:r w:rsidR="00063B66" w:rsidRPr="000F7006">
              <w:rPr>
                <w:rFonts w:hAnsi="標楷體" w:cs="DFKaiShu-SB-Estd-BF" w:hint="eastAsia"/>
                <w:kern w:val="0"/>
                <w:szCs w:val="24"/>
              </w:rPr>
              <w:t>按工程費、平面式、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立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體式、停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車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位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數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、開工</w:t>
            </w:r>
            <w:r w:rsidR="00063B66" w:rsidRPr="000F7006">
              <w:rPr>
                <w:rFonts w:hAnsi="標楷體" w:cs="細明體" w:hint="eastAsia"/>
                <w:kern w:val="0"/>
                <w:szCs w:val="24"/>
              </w:rPr>
              <w:t>年</w:t>
            </w:r>
            <w:r w:rsidR="00063B66" w:rsidRPr="000F7006">
              <w:rPr>
                <w:rFonts w:hAnsi="標楷體" w:cs="MS Mincho" w:hint="eastAsia"/>
                <w:kern w:val="0"/>
                <w:szCs w:val="24"/>
              </w:rPr>
              <w:t>月分類。</w:t>
            </w:r>
          </w:p>
          <w:p w:rsidR="005E11FC" w:rsidRPr="000F7006" w:rsidRDefault="00CF2171" w:rsidP="00566A05">
            <w:pPr>
              <w:spacing w:line="360" w:lineRule="exact"/>
              <w:ind w:leftChars="450" w:left="1800" w:hangingChars="300" w:hanging="720"/>
              <w:rPr>
                <w:rFonts w:hAnsi="標楷體"/>
                <w:color w:val="000000" w:themeColor="text1"/>
                <w:kern w:val="0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橫</w:t>
            </w:r>
            <w:r w:rsidR="005263EC"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項目</w:t>
            </w:r>
            <w:r w:rsidR="00F160B8" w:rsidRPr="000F7006">
              <w:rPr>
                <w:rFonts w:hAnsi="標楷體" w:hint="eastAsia"/>
                <w:color w:val="000000" w:themeColor="text1"/>
                <w:kern w:val="0"/>
                <w:szCs w:val="24"/>
              </w:rPr>
              <w:t>：</w:t>
            </w:r>
            <w:r w:rsidR="00063B66" w:rsidRPr="000F7006">
              <w:rPr>
                <w:rFonts w:hAnsi="標楷體" w:cs="DFKaiShu-SB-Estd-BF" w:hint="eastAsia"/>
                <w:kern w:val="0"/>
                <w:szCs w:val="24"/>
              </w:rPr>
              <w:t>按工程名稱分類。</w:t>
            </w:r>
          </w:p>
          <w:p w:rsidR="005E11FC" w:rsidRPr="000F7006" w:rsidRDefault="008F3FE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＊發布週期（指資料編製或產生之頻率，如月、季、年等）：</w:t>
            </w:r>
            <w:r w:rsidR="005E11FC" w:rsidRPr="000F7006">
              <w:rPr>
                <w:rFonts w:hAnsi="標楷體" w:hint="eastAsia"/>
                <w:color w:val="000000" w:themeColor="text1"/>
                <w:szCs w:val="24"/>
              </w:rPr>
              <w:t>年</w:t>
            </w:r>
          </w:p>
          <w:p w:rsidR="005E11FC" w:rsidRPr="000F7006" w:rsidRDefault="005E11F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＊時效（指統計標準時間至資料發布時間之間隔時間）：2個月</w:t>
            </w:r>
            <w:r w:rsidR="00277B87" w:rsidRPr="000F7006">
              <w:rPr>
                <w:rFonts w:hAnsi="標楷體" w:hint="eastAsia"/>
                <w:color w:val="000000" w:themeColor="text1"/>
                <w:szCs w:val="24"/>
              </w:rPr>
              <w:t>又</w:t>
            </w:r>
            <w:r w:rsidR="005263EC" w:rsidRPr="000F7006">
              <w:rPr>
                <w:rFonts w:hAnsi="標楷體" w:hint="eastAsia"/>
                <w:color w:val="000000" w:themeColor="text1"/>
                <w:szCs w:val="24"/>
              </w:rPr>
              <w:t>20日</w:t>
            </w:r>
          </w:p>
          <w:p w:rsidR="001C0BE2" w:rsidRPr="000F7006" w:rsidRDefault="005E11FC" w:rsidP="001C0BE2">
            <w:pPr>
              <w:spacing w:before="240" w:line="360" w:lineRule="exact"/>
              <w:ind w:leftChars="50" w:left="120" w:firstLineChars="50" w:firstLine="120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lastRenderedPageBreak/>
              <w:t>＊資料變革：</w:t>
            </w:r>
            <w:r w:rsidR="00361232" w:rsidRPr="000F7006">
              <w:rPr>
                <w:rFonts w:hAnsi="標楷體" w:hint="eastAsia"/>
                <w:color w:val="000000" w:themeColor="text1"/>
                <w:szCs w:val="24"/>
              </w:rPr>
              <w:t>無</w:t>
            </w:r>
          </w:p>
          <w:p w:rsidR="005E11FC" w:rsidRPr="000F7006" w:rsidRDefault="005E11FC" w:rsidP="003E4914">
            <w:pPr>
              <w:spacing w:before="240" w:line="360" w:lineRule="exact"/>
              <w:ind w:left="616" w:hanging="61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四、公開資料發布訊息</w:t>
            </w:r>
          </w:p>
          <w:p w:rsidR="005E11FC" w:rsidRPr="000F7006" w:rsidRDefault="005E11F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＊預告發布日期（含預告方式及週期）：每年2</w:t>
            </w:r>
            <w:r w:rsidR="00146819" w:rsidRPr="000F7006">
              <w:rPr>
                <w:rFonts w:hAnsi="標楷體" w:hint="eastAsia"/>
                <w:color w:val="000000" w:themeColor="text1"/>
                <w:szCs w:val="24"/>
              </w:rPr>
              <w:t>月</w:t>
            </w:r>
            <w:r w:rsidR="005263EC" w:rsidRPr="000F7006">
              <w:rPr>
                <w:rFonts w:hAnsi="標楷體" w:hint="eastAsia"/>
                <w:color w:val="000000" w:themeColor="text1"/>
                <w:szCs w:val="24"/>
              </w:rPr>
              <w:t>20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日</w:t>
            </w:r>
            <w:r w:rsidR="001F1BFE" w:rsidRPr="000F7006">
              <w:rPr>
                <w:rFonts w:hAnsi="標楷體" w:hint="eastAsia"/>
                <w:color w:val="000000" w:themeColor="text1"/>
                <w:szCs w:val="24"/>
              </w:rPr>
              <w:t>（遇例假日順延）</w:t>
            </w:r>
            <w:r w:rsidR="008F3FEC" w:rsidRPr="000F7006">
              <w:rPr>
                <w:rFonts w:hAnsi="標楷體" w:hint="eastAsia"/>
                <w:color w:val="000000" w:themeColor="text1"/>
                <w:szCs w:val="24"/>
              </w:rPr>
              <w:t>，</w:t>
            </w:r>
            <w:r w:rsidR="00146819" w:rsidRPr="000F7006">
              <w:rPr>
                <w:rFonts w:hAnsi="標楷體" w:hint="eastAsia"/>
                <w:color w:val="000000" w:themeColor="text1"/>
                <w:szCs w:val="24"/>
              </w:rPr>
              <w:t>以報表、網際網路發布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。</w:t>
            </w:r>
          </w:p>
          <w:p w:rsidR="005E11FC" w:rsidRPr="000F7006" w:rsidRDefault="005E11F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＊同步發送單位（說明資料發布時同步發送之單位或可同步查得該資料之網址）：桃園</w:t>
            </w:r>
            <w:r w:rsidR="005202A3" w:rsidRPr="000F7006">
              <w:rPr>
                <w:rFonts w:hAnsi="標楷體" w:hint="eastAsia"/>
                <w:color w:val="000000" w:themeColor="text1"/>
                <w:szCs w:val="24"/>
              </w:rPr>
              <w:t>市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政府主計處</w:t>
            </w:r>
            <w:r w:rsidR="005459C2" w:rsidRPr="000F7006">
              <w:rPr>
                <w:rFonts w:hAnsi="標楷體" w:hint="eastAsia"/>
                <w:color w:val="000000" w:themeColor="text1"/>
                <w:szCs w:val="24"/>
              </w:rPr>
              <w:t xml:space="preserve"> 、桃園</w:t>
            </w:r>
            <w:r w:rsidR="005202A3" w:rsidRPr="000F7006">
              <w:rPr>
                <w:rFonts w:hAnsi="標楷體" w:hint="eastAsia"/>
                <w:color w:val="000000" w:themeColor="text1"/>
                <w:szCs w:val="24"/>
              </w:rPr>
              <w:t>市</w:t>
            </w:r>
            <w:r w:rsidR="005459C2" w:rsidRPr="000F7006">
              <w:rPr>
                <w:rFonts w:hAnsi="標楷體" w:hint="eastAsia"/>
                <w:color w:val="000000" w:themeColor="text1"/>
                <w:szCs w:val="24"/>
              </w:rPr>
              <w:t>政府交通局</w:t>
            </w:r>
          </w:p>
          <w:p w:rsidR="005E11FC" w:rsidRPr="000F7006" w:rsidRDefault="005E11FC" w:rsidP="003E4914">
            <w:pPr>
              <w:spacing w:before="240" w:line="360" w:lineRule="exact"/>
              <w:ind w:left="616" w:hanging="616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五、資料品質</w:t>
            </w:r>
          </w:p>
          <w:p w:rsidR="005E11FC" w:rsidRPr="000F7006" w:rsidRDefault="005E11F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</w:t>
            </w:r>
            <w:r w:rsidR="00AE02CA" w:rsidRPr="000F7006">
              <w:rPr>
                <w:rFonts w:hAnsi="標楷體" w:hint="eastAsia"/>
                <w:color w:val="000000" w:themeColor="text1"/>
                <w:szCs w:val="24"/>
              </w:rPr>
              <w:t>統計指標編製方法與資料來源說明：由本局</w:t>
            </w:r>
            <w:r w:rsidR="00063B66" w:rsidRPr="000F7006">
              <w:rPr>
                <w:rFonts w:hAnsi="標楷體" w:hint="eastAsia"/>
                <w:color w:val="000000" w:themeColor="text1"/>
                <w:szCs w:val="24"/>
              </w:rPr>
              <w:t>停車管理工程科</w:t>
            </w:r>
            <w:r w:rsidR="00AE02CA" w:rsidRPr="000F7006">
              <w:rPr>
                <w:rFonts w:hAnsi="標楷體" w:hint="eastAsia"/>
                <w:color w:val="000000" w:themeColor="text1"/>
                <w:szCs w:val="24"/>
              </w:rPr>
              <w:t>所報資料彙編</w:t>
            </w:r>
            <w:r w:rsidRPr="000F7006">
              <w:rPr>
                <w:rFonts w:hAnsi="標楷體" w:hint="eastAsia"/>
                <w:color w:val="000000" w:themeColor="text1"/>
                <w:szCs w:val="24"/>
              </w:rPr>
              <w:t>。</w:t>
            </w:r>
          </w:p>
          <w:p w:rsidR="005E11FC" w:rsidRPr="000F7006" w:rsidRDefault="005E11FC" w:rsidP="001D0080">
            <w:pPr>
              <w:spacing w:line="360" w:lineRule="exact"/>
              <w:ind w:leftChars="118" w:left="525" w:hangingChars="101" w:hanging="242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＊統計資料交叉查核及確保資料合理性之機制：</w:t>
            </w:r>
            <w:r w:rsidR="001F1BFE" w:rsidRPr="000F7006">
              <w:rPr>
                <w:rFonts w:hAnsi="標楷體" w:hint="eastAsia"/>
                <w:color w:val="000000" w:themeColor="text1"/>
                <w:szCs w:val="24"/>
              </w:rPr>
              <w:t>總計項等於各分類項資料加總。</w:t>
            </w:r>
          </w:p>
          <w:p w:rsidR="005E11FC" w:rsidRPr="000F7006" w:rsidRDefault="005E11FC" w:rsidP="003E4914">
            <w:pPr>
              <w:spacing w:before="240" w:line="360" w:lineRule="exact"/>
              <w:ind w:left="600" w:hanging="600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六、須注意及預定改變之事項：無</w:t>
            </w:r>
          </w:p>
          <w:p w:rsidR="005E11FC" w:rsidRPr="000F7006" w:rsidRDefault="005E11FC" w:rsidP="003E4914">
            <w:pPr>
              <w:spacing w:before="240" w:line="360" w:lineRule="exact"/>
              <w:ind w:left="600" w:hanging="600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0F7006">
              <w:rPr>
                <w:rFonts w:hAnsi="標楷體" w:hint="eastAsia"/>
                <w:color w:val="000000" w:themeColor="text1"/>
                <w:szCs w:val="24"/>
              </w:rPr>
              <w:t>七、其他事項：無</w:t>
            </w:r>
          </w:p>
          <w:p w:rsidR="005E11FC" w:rsidRPr="000F7006" w:rsidRDefault="005E11FC" w:rsidP="003E4914">
            <w:pPr>
              <w:spacing w:before="240" w:line="360" w:lineRule="exact"/>
              <w:ind w:left="600" w:hanging="600"/>
              <w:jc w:val="both"/>
              <w:rPr>
                <w:rFonts w:hAnsi="標楷體"/>
                <w:color w:val="000000" w:themeColor="text1"/>
                <w:szCs w:val="24"/>
              </w:rPr>
            </w:pPr>
          </w:p>
        </w:tc>
      </w:tr>
      <w:bookmarkEnd w:id="0"/>
    </w:tbl>
    <w:p w:rsidR="00E9281F" w:rsidRPr="0005601F" w:rsidRDefault="00E9281F">
      <w:pPr>
        <w:rPr>
          <w:rFonts w:hAnsi="標楷體"/>
        </w:rPr>
      </w:pPr>
    </w:p>
    <w:sectPr w:rsidR="00E9281F" w:rsidRPr="000560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CF" w:rsidRDefault="002507CF" w:rsidP="00146819">
      <w:r>
        <w:separator/>
      </w:r>
    </w:p>
  </w:endnote>
  <w:endnote w:type="continuationSeparator" w:id="0">
    <w:p w:rsidR="002507CF" w:rsidRDefault="002507CF" w:rsidP="001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6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CF" w:rsidRDefault="002507CF" w:rsidP="00146819">
      <w:r>
        <w:separator/>
      </w:r>
    </w:p>
  </w:footnote>
  <w:footnote w:type="continuationSeparator" w:id="0">
    <w:p w:rsidR="002507CF" w:rsidRDefault="002507CF" w:rsidP="0014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5B8"/>
    <w:multiLevelType w:val="hybridMultilevel"/>
    <w:tmpl w:val="D9FE9114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369224">
      <w:start w:val="1"/>
      <w:numFmt w:val="taiwaneseCountingThousand"/>
      <w:lvlText w:val="(%3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C"/>
    <w:rsid w:val="00003CDE"/>
    <w:rsid w:val="0000536E"/>
    <w:rsid w:val="00044E42"/>
    <w:rsid w:val="0005601F"/>
    <w:rsid w:val="00063B66"/>
    <w:rsid w:val="00070D16"/>
    <w:rsid w:val="000801F3"/>
    <w:rsid w:val="000F7006"/>
    <w:rsid w:val="00146819"/>
    <w:rsid w:val="0015211B"/>
    <w:rsid w:val="001C0BE2"/>
    <w:rsid w:val="001D0080"/>
    <w:rsid w:val="001F1BFE"/>
    <w:rsid w:val="002507CF"/>
    <w:rsid w:val="00250D24"/>
    <w:rsid w:val="002549D9"/>
    <w:rsid w:val="00277B87"/>
    <w:rsid w:val="002A1445"/>
    <w:rsid w:val="00361232"/>
    <w:rsid w:val="003C28C4"/>
    <w:rsid w:val="0044511A"/>
    <w:rsid w:val="00457168"/>
    <w:rsid w:val="004C2E37"/>
    <w:rsid w:val="005202A3"/>
    <w:rsid w:val="00523785"/>
    <w:rsid w:val="005263EC"/>
    <w:rsid w:val="00527D65"/>
    <w:rsid w:val="00533A05"/>
    <w:rsid w:val="005459C2"/>
    <w:rsid w:val="00566A05"/>
    <w:rsid w:val="005D63F4"/>
    <w:rsid w:val="005E11FC"/>
    <w:rsid w:val="006D3E20"/>
    <w:rsid w:val="007D1227"/>
    <w:rsid w:val="008C297D"/>
    <w:rsid w:val="008F3FEC"/>
    <w:rsid w:val="00915649"/>
    <w:rsid w:val="0097668C"/>
    <w:rsid w:val="009E06F9"/>
    <w:rsid w:val="009E1D97"/>
    <w:rsid w:val="00A81146"/>
    <w:rsid w:val="00AC0213"/>
    <w:rsid w:val="00AE02CA"/>
    <w:rsid w:val="00B1601A"/>
    <w:rsid w:val="00CF2171"/>
    <w:rsid w:val="00E9281F"/>
    <w:rsid w:val="00EC530B"/>
    <w:rsid w:val="00F140CB"/>
    <w:rsid w:val="00F160B8"/>
    <w:rsid w:val="00F46CD7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6770E6-5507-409C-BD30-52642B6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81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81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63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李春鳯</cp:lastModifiedBy>
  <cp:revision>12</cp:revision>
  <dcterms:created xsi:type="dcterms:W3CDTF">2019-11-26T04:02:00Z</dcterms:created>
  <dcterms:modified xsi:type="dcterms:W3CDTF">2020-11-26T05:13:00Z</dcterms:modified>
</cp:coreProperties>
</file>