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A1817" w14:textId="77777777" w:rsidR="00686DE3" w:rsidRDefault="00686DE3"/>
    <w:p w14:paraId="56BAF1E9" w14:textId="77777777" w:rsidR="00686DE3" w:rsidRDefault="00686DE3"/>
    <w:tbl>
      <w:tblPr>
        <w:tblW w:w="12960" w:type="dxa"/>
        <w:tblInd w:w="-11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60"/>
      </w:tblGrid>
      <w:tr w:rsidR="00686DE3" w14:paraId="779212CA" w14:textId="77777777">
        <w:tblPrEx>
          <w:tblCellMar>
            <w:top w:w="0" w:type="dxa"/>
            <w:bottom w:w="0" w:type="dxa"/>
          </w:tblCellMar>
        </w:tblPrEx>
        <w:trPr>
          <w:trHeight w:val="13038"/>
        </w:trPr>
        <w:tc>
          <w:tcPr>
            <w:tcW w:w="12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F6364" w14:textId="77777777" w:rsidR="00686DE3" w:rsidRDefault="00707E45">
            <w:pPr>
              <w:ind w:left="1699"/>
              <w:jc w:val="center"/>
              <w:rPr>
                <w:b/>
                <w:bCs/>
                <w:spacing w:val="-4"/>
                <w:sz w:val="28"/>
                <w:szCs w:val="20"/>
              </w:rPr>
            </w:pPr>
            <w:r>
              <w:rPr>
                <w:b/>
                <w:bCs/>
                <w:spacing w:val="-4"/>
                <w:sz w:val="28"/>
                <w:szCs w:val="20"/>
              </w:rPr>
              <w:t>統計資料背景說明</w:t>
            </w:r>
          </w:p>
          <w:p w14:paraId="00F4D4D0" w14:textId="77777777" w:rsidR="00686DE3" w:rsidRDefault="00686DE3">
            <w:pPr>
              <w:ind w:left="1699"/>
              <w:rPr>
                <w:sz w:val="22"/>
                <w:szCs w:val="20"/>
              </w:rPr>
            </w:pPr>
          </w:p>
          <w:p w14:paraId="4B94EF1A" w14:textId="77777777" w:rsidR="00686DE3" w:rsidRDefault="00707E45">
            <w:pPr>
              <w:ind w:left="1699"/>
            </w:pPr>
            <w:r>
              <w:rPr>
                <w:sz w:val="22"/>
                <w:szCs w:val="20"/>
              </w:rPr>
              <w:t>資料種類：公路運輸統計</w:t>
            </w:r>
          </w:p>
          <w:p w14:paraId="2BA5937C" w14:textId="77777777" w:rsidR="00686DE3" w:rsidRDefault="00707E45">
            <w:pPr>
              <w:ind w:left="1699"/>
            </w:pPr>
            <w:r>
              <w:rPr>
                <w:sz w:val="22"/>
                <w:szCs w:val="20"/>
              </w:rPr>
              <w:t>資料項目：桃園市路外停車位概況</w:t>
            </w:r>
          </w:p>
          <w:p w14:paraId="0A17D597" w14:textId="77777777" w:rsidR="00686DE3" w:rsidRDefault="00707E45">
            <w:pPr>
              <w:ind w:left="1699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一、發布及編製機關單位</w:t>
            </w:r>
          </w:p>
          <w:p w14:paraId="4F69B7A7" w14:textId="77777777" w:rsidR="00686DE3" w:rsidRDefault="00707E45">
            <w:pPr>
              <w:ind w:left="2125" w:hanging="426"/>
              <w:jc w:val="both"/>
              <w:rPr>
                <w:spacing w:val="-4"/>
                <w:sz w:val="22"/>
                <w:szCs w:val="20"/>
              </w:rPr>
            </w:pPr>
            <w:r>
              <w:rPr>
                <w:spacing w:val="-4"/>
                <w:sz w:val="22"/>
                <w:szCs w:val="20"/>
              </w:rPr>
              <w:t>＊發布機關、單位：桃園市政府交通局會計室</w:t>
            </w:r>
          </w:p>
          <w:p w14:paraId="25B76B8B" w14:textId="77777777" w:rsidR="00686DE3" w:rsidRDefault="00707E45">
            <w:pPr>
              <w:ind w:left="2125" w:hanging="426"/>
              <w:jc w:val="both"/>
            </w:pPr>
            <w:r>
              <w:rPr>
                <w:sz w:val="22"/>
                <w:szCs w:val="20"/>
              </w:rPr>
              <w:t>＊編製單位：</w:t>
            </w:r>
            <w:r>
              <w:rPr>
                <w:spacing w:val="-4"/>
                <w:sz w:val="22"/>
                <w:szCs w:val="20"/>
              </w:rPr>
              <w:t>桃園市政府交通局停車管理工程科</w:t>
            </w:r>
          </w:p>
          <w:p w14:paraId="08A5803A" w14:textId="77777777" w:rsidR="00686DE3" w:rsidRDefault="00707E45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＊聯絡電話：</w:t>
            </w:r>
            <w:r>
              <w:rPr>
                <w:sz w:val="22"/>
                <w:szCs w:val="20"/>
              </w:rPr>
              <w:t>(03)3326521</w:t>
            </w:r>
            <w:r>
              <w:rPr>
                <w:sz w:val="22"/>
                <w:szCs w:val="20"/>
              </w:rPr>
              <w:t>分機</w:t>
            </w:r>
            <w:r>
              <w:rPr>
                <w:sz w:val="22"/>
                <w:szCs w:val="20"/>
              </w:rPr>
              <w:t>6866</w:t>
            </w:r>
          </w:p>
          <w:p w14:paraId="5034E48C" w14:textId="77777777" w:rsidR="00686DE3" w:rsidRDefault="00707E45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＊傳真：</w:t>
            </w:r>
            <w:r>
              <w:rPr>
                <w:sz w:val="22"/>
                <w:szCs w:val="20"/>
              </w:rPr>
              <w:t>(03)3318709</w:t>
            </w:r>
          </w:p>
          <w:p w14:paraId="1830A089" w14:textId="77777777" w:rsidR="00686DE3" w:rsidRDefault="00707E45">
            <w:pPr>
              <w:ind w:left="2125" w:hanging="42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＊電子信箱：</w:t>
            </w:r>
            <w:r>
              <w:rPr>
                <w:sz w:val="22"/>
                <w:szCs w:val="20"/>
              </w:rPr>
              <w:t>10086760 @mail.tycg.gov.tw</w:t>
            </w:r>
          </w:p>
          <w:p w14:paraId="1C8B5ACC" w14:textId="77777777" w:rsidR="00686DE3" w:rsidRDefault="00707E45">
            <w:pPr>
              <w:ind w:left="2239" w:hanging="54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二、發布形式</w:t>
            </w:r>
          </w:p>
          <w:p w14:paraId="29271256" w14:textId="77777777" w:rsidR="00686DE3" w:rsidRDefault="00707E45">
            <w:pPr>
              <w:numPr>
                <w:ilvl w:val="0"/>
                <w:numId w:val="3"/>
              </w:numPr>
              <w:tabs>
                <w:tab w:val="left" w:pos="579"/>
              </w:tabs>
              <w:ind w:left="198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口頭：（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）記者會或說明會</w:t>
            </w:r>
          </w:p>
          <w:p w14:paraId="5AF738FE" w14:textId="77777777" w:rsidR="00686DE3" w:rsidRDefault="00707E45">
            <w:pPr>
              <w:numPr>
                <w:ilvl w:val="0"/>
                <w:numId w:val="4"/>
              </w:numPr>
              <w:tabs>
                <w:tab w:val="left" w:pos="579"/>
              </w:tabs>
              <w:ind w:left="198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書面：（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）新聞稿</w:t>
            </w:r>
            <w:r>
              <w:rPr>
                <w:sz w:val="22"/>
                <w:szCs w:val="20"/>
              </w:rPr>
              <w:t xml:space="preserve">   </w:t>
            </w:r>
            <w:r>
              <w:rPr>
                <w:sz w:val="22"/>
                <w:szCs w:val="20"/>
              </w:rPr>
              <w:t>（）報表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）書刊，刊名：</w:t>
            </w:r>
          </w:p>
          <w:p w14:paraId="59525A9D" w14:textId="77777777" w:rsidR="00686DE3" w:rsidRDefault="00707E45">
            <w:pPr>
              <w:ind w:left="1699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＊電子媒體：</w:t>
            </w:r>
          </w:p>
          <w:p w14:paraId="476B19EB" w14:textId="77777777" w:rsidR="00686DE3" w:rsidRDefault="00707E45">
            <w:pPr>
              <w:ind w:left="1993" w:right="-328" w:hanging="29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）線上書刊及資料庫，網址：</w:t>
            </w:r>
            <w:r>
              <w:rPr>
                <w:sz w:val="22"/>
                <w:szCs w:val="20"/>
              </w:rPr>
              <w:t xml:space="preserve">                    </w:t>
            </w:r>
          </w:p>
          <w:p w14:paraId="72CE20E3" w14:textId="77777777" w:rsidR="00686DE3" w:rsidRDefault="00707E45">
            <w:pPr>
              <w:ind w:left="1993" w:right="-328" w:hanging="294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）磁片</w:t>
            </w:r>
            <w:r>
              <w:rPr>
                <w:sz w:val="22"/>
                <w:szCs w:val="20"/>
              </w:rPr>
              <w:t xml:space="preserve"> 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）光碟片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sz w:val="22"/>
                <w:szCs w:val="20"/>
              </w:rPr>
              <w:t>（</w:t>
            </w:r>
            <w:r>
              <w:rPr>
                <w:sz w:val="22"/>
                <w:szCs w:val="20"/>
              </w:rPr>
              <w:t>v</w:t>
            </w:r>
            <w:r>
              <w:rPr>
                <w:sz w:val="22"/>
                <w:szCs w:val="20"/>
              </w:rPr>
              <w:t>）其他</w:t>
            </w:r>
          </w:p>
          <w:p w14:paraId="68D0A078" w14:textId="77777777" w:rsidR="00686DE3" w:rsidRDefault="00707E45">
            <w:pPr>
              <w:ind w:left="1993" w:right="-328" w:hanging="294"/>
              <w:jc w:val="both"/>
            </w:pPr>
            <w:r>
              <w:rPr>
                <w:sz w:val="22"/>
                <w:szCs w:val="20"/>
              </w:rPr>
              <w:t>Open Document File (odf)</w:t>
            </w:r>
            <w:r>
              <w:rPr>
                <w:sz w:val="22"/>
                <w:szCs w:val="20"/>
              </w:rPr>
              <w:t>、</w:t>
            </w:r>
            <w:r>
              <w:rPr>
                <w:sz w:val="22"/>
                <w:szCs w:val="20"/>
              </w:rPr>
              <w:t xml:space="preserve">Portable Document Format (pdf) </w:t>
            </w:r>
            <w:r>
              <w:rPr>
                <w:sz w:val="22"/>
                <w:szCs w:val="20"/>
              </w:rPr>
              <w:t>或</w:t>
            </w:r>
            <w:r>
              <w:rPr>
                <w:sz w:val="22"/>
                <w:szCs w:val="20"/>
              </w:rPr>
              <w:t>Excel</w:t>
            </w:r>
            <w:r>
              <w:rPr>
                <w:sz w:val="22"/>
                <w:szCs w:val="20"/>
              </w:rPr>
              <w:t>檔案。</w:t>
            </w:r>
          </w:p>
          <w:p w14:paraId="26A90D1D" w14:textId="77777777" w:rsidR="00686DE3" w:rsidRDefault="00707E45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三、資料範圍、週期及時效</w:t>
            </w:r>
          </w:p>
          <w:p w14:paraId="3E68CC21" w14:textId="77777777" w:rsidR="00686DE3" w:rsidRDefault="00707E45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＊統計地區範圍及對象：包括桃園市轄區內路外公共停車位，依據停車場法及有關法令規定辦理設置，</w:t>
            </w:r>
          </w:p>
          <w:p w14:paraId="556BE97A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以平面或立體式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包括匝道式、機械式或塔台式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供民眾停放車輛之場所為統計對象，但不包括所轄之</w:t>
            </w:r>
          </w:p>
          <w:p w14:paraId="27E8BED8" w14:textId="77777777" w:rsidR="00686DE3" w:rsidRDefault="00707E45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建築物附設停車位及風景遊樂區停車位。</w:t>
            </w:r>
          </w:p>
          <w:p w14:paraId="26EE2FEC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＊統計標準時間：以每季底之事實為準。</w:t>
            </w:r>
          </w:p>
          <w:p w14:paraId="1AB14734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＊統計項目定義：</w:t>
            </w:r>
          </w:p>
          <w:p w14:paraId="1E0560E5" w14:textId="77777777" w:rsidR="00686DE3" w:rsidRDefault="00707E45">
            <w:pPr>
              <w:ind w:left="2415" w:hanging="990"/>
              <w:jc w:val="both"/>
            </w:pPr>
            <w:r>
              <w:rPr>
                <w:sz w:val="22"/>
                <w:szCs w:val="20"/>
              </w:rPr>
              <w:t xml:space="preserve">　　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一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路外停車位：指道路之路面外，以平面或立體式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包括匝道式、機械式或塔台式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等所設，停放</w:t>
            </w:r>
          </w:p>
          <w:p w14:paraId="4F630436" w14:textId="77777777" w:rsidR="00686DE3" w:rsidRDefault="00707E45">
            <w:pPr>
              <w:ind w:left="2415" w:firstLine="1202"/>
              <w:jc w:val="both"/>
            </w:pPr>
            <w:r>
              <w:rPr>
                <w:sz w:val="22"/>
                <w:szCs w:val="20"/>
              </w:rPr>
              <w:t>車輛之車位。</w:t>
            </w:r>
          </w:p>
          <w:p w14:paraId="24A56F59" w14:textId="77777777" w:rsidR="00686DE3" w:rsidRDefault="00707E45">
            <w:pPr>
              <w:ind w:left="840" w:firstLine="1049"/>
              <w:jc w:val="both"/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二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公有：指停車場屬於政府所有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含委託民間經營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，但不包含單純租賃契約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如公有土地出租，</w:t>
            </w:r>
          </w:p>
          <w:p w14:paraId="79AD7A1A" w14:textId="77777777" w:rsidR="00686DE3" w:rsidRDefault="00707E45">
            <w:pPr>
              <w:ind w:left="840" w:firstLine="1049"/>
              <w:jc w:val="both"/>
            </w:pPr>
            <w:r>
              <w:rPr>
                <w:sz w:val="22"/>
                <w:szCs w:val="20"/>
              </w:rPr>
              <w:t xml:space="preserve">          </w:t>
            </w:r>
            <w:r>
              <w:rPr>
                <w:sz w:val="22"/>
                <w:szCs w:val="20"/>
              </w:rPr>
              <w:t>民間自行規劃為停車場者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。</w:t>
            </w:r>
            <w:r>
              <w:rPr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ab/>
            </w:r>
            <w:r>
              <w:rPr>
                <w:sz w:val="22"/>
                <w:szCs w:val="20"/>
              </w:rPr>
              <w:tab/>
            </w:r>
          </w:p>
          <w:p w14:paraId="0F32304F" w14:textId="77777777" w:rsidR="00686DE3" w:rsidRDefault="00707E45">
            <w:pPr>
              <w:ind w:left="1440" w:firstLine="435"/>
              <w:jc w:val="both"/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三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私有：指停車場之所有權屬於民間，含租用土地，規劃為停車場者。</w:t>
            </w:r>
          </w:p>
          <w:p w14:paraId="1373F9BA" w14:textId="77777777" w:rsidR="00686DE3" w:rsidRDefault="00707E45">
            <w:pPr>
              <w:ind w:left="1440" w:firstLine="435"/>
              <w:jc w:val="both"/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四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收費：指依收費方式含停車費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計時收費、計次收費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及充電費在內。</w:t>
            </w:r>
          </w:p>
          <w:p w14:paraId="634022CB" w14:textId="77777777" w:rsidR="00686DE3" w:rsidRDefault="00707E45">
            <w:pPr>
              <w:ind w:left="1440" w:firstLine="435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五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不收費：指停車格位免費供民眾停放。</w:t>
            </w:r>
            <w:r>
              <w:rPr>
                <w:sz w:val="22"/>
                <w:szCs w:val="20"/>
              </w:rPr>
              <w:tab/>
            </w:r>
          </w:p>
          <w:p w14:paraId="2E83B7DD" w14:textId="77777777" w:rsidR="00686DE3" w:rsidRDefault="00707E45">
            <w:pPr>
              <w:ind w:left="1440" w:firstLine="435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六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平面：指停車場僅在地面上設置者。</w:t>
            </w:r>
            <w:r>
              <w:rPr>
                <w:sz w:val="22"/>
                <w:szCs w:val="20"/>
              </w:rPr>
              <w:tab/>
            </w:r>
          </w:p>
          <w:p w14:paraId="0E316544" w14:textId="77777777" w:rsidR="00686DE3" w:rsidRDefault="00707E45">
            <w:pPr>
              <w:ind w:left="1601" w:firstLine="273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七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立體：指停車場設置樓層二層以上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含二層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者。</w:t>
            </w:r>
          </w:p>
          <w:p w14:paraId="18069C3A" w14:textId="77777777" w:rsidR="00686DE3" w:rsidRDefault="00707E45">
            <w:pPr>
              <w:ind w:left="1601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>＊統計單位：車位。</w:t>
            </w:r>
          </w:p>
          <w:p w14:paraId="50A40B3A" w14:textId="77777777" w:rsidR="00686DE3" w:rsidRDefault="00707E45">
            <w:pPr>
              <w:ind w:left="3045" w:hanging="1346"/>
            </w:pPr>
            <w:r>
              <w:rPr>
                <w:sz w:val="22"/>
                <w:szCs w:val="20"/>
              </w:rPr>
              <w:t>＊統計分類：路外停車位依停放車種分大型車、小型車、機車，並依設置方式分公有及私有，再依</w:t>
            </w:r>
          </w:p>
          <w:p w14:paraId="404F85B7" w14:textId="77777777" w:rsidR="00686DE3" w:rsidRDefault="00707E45">
            <w:pPr>
              <w:ind w:left="3045" w:firstLine="5"/>
            </w:pPr>
            <w:r>
              <w:rPr>
                <w:sz w:val="22"/>
                <w:szCs w:val="20"/>
              </w:rPr>
              <w:t>計費方式分收費及不收費，並細分平面及立體</w:t>
            </w:r>
            <w:r>
              <w:rPr>
                <w:sz w:val="22"/>
                <w:szCs w:val="20"/>
              </w:rPr>
              <w:t>(</w:t>
            </w:r>
            <w:r>
              <w:rPr>
                <w:sz w:val="22"/>
                <w:szCs w:val="20"/>
              </w:rPr>
              <w:t>包括匝道式、機械式或塔台式</w:t>
            </w:r>
            <w:r>
              <w:rPr>
                <w:sz w:val="22"/>
                <w:szCs w:val="20"/>
              </w:rPr>
              <w:t>)</w:t>
            </w:r>
            <w:r>
              <w:rPr>
                <w:sz w:val="22"/>
                <w:szCs w:val="20"/>
              </w:rPr>
              <w:t>。</w:t>
            </w:r>
          </w:p>
          <w:p w14:paraId="45C9888F" w14:textId="77777777" w:rsidR="00686DE3" w:rsidRDefault="00707E45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＊發布週期（指資料編製或產生之頻率，如月、季、年等）：季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5F88AFF0" w14:textId="77777777" w:rsidR="00686DE3" w:rsidRDefault="00707E45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＊時效（指統計標準時間至資料發布時間之間隔時間）：</w:t>
            </w:r>
            <w:r>
              <w:rPr>
                <w:sz w:val="22"/>
                <w:szCs w:val="20"/>
              </w:rPr>
              <w:t>25</w:t>
            </w:r>
            <w:r>
              <w:rPr>
                <w:sz w:val="22"/>
                <w:szCs w:val="20"/>
              </w:rPr>
              <w:t>天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19D269CC" w14:textId="77777777" w:rsidR="00686DE3" w:rsidRDefault="00707E45">
            <w:pPr>
              <w:ind w:left="1572" w:firstLine="142"/>
              <w:jc w:val="both"/>
            </w:pPr>
            <w:r>
              <w:rPr>
                <w:sz w:val="22"/>
                <w:szCs w:val="20"/>
              </w:rPr>
              <w:t>＊資料變革：無</w:t>
            </w:r>
            <w:r>
              <w:rPr>
                <w:kern w:val="0"/>
                <w:sz w:val="22"/>
                <w:szCs w:val="20"/>
              </w:rPr>
              <w:t>。</w:t>
            </w:r>
          </w:p>
          <w:p w14:paraId="38318842" w14:textId="77777777" w:rsidR="00686DE3" w:rsidRDefault="00707E45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四、公開資料發布訊息</w:t>
            </w:r>
          </w:p>
          <w:p w14:paraId="5F451AF3" w14:textId="77777777" w:rsidR="00686DE3" w:rsidRDefault="00707E45">
            <w:pPr>
              <w:ind w:left="1899" w:hanging="200"/>
              <w:jc w:val="both"/>
            </w:pPr>
            <w:r>
              <w:rPr>
                <w:sz w:val="22"/>
                <w:szCs w:val="20"/>
              </w:rPr>
              <w:t>＊預告發布日期（含預告方式及週期）：每季結束後</w:t>
            </w:r>
            <w:r>
              <w:rPr>
                <w:sz w:val="22"/>
                <w:szCs w:val="20"/>
              </w:rPr>
              <w:t>25</w:t>
            </w:r>
            <w:r>
              <w:rPr>
                <w:sz w:val="22"/>
                <w:szCs w:val="20"/>
              </w:rPr>
              <w:t>天（遇例假日順延），以報表、網際網路發布。</w:t>
            </w:r>
          </w:p>
          <w:p w14:paraId="7927C759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＊同步發送單位（說明資料發布時同步發送之單位或可同步查得該資料之網址）：交通部統計處、</w:t>
            </w:r>
          </w:p>
          <w:p w14:paraId="061790D4" w14:textId="77777777" w:rsidR="00686DE3" w:rsidRDefault="00707E45">
            <w:pPr>
              <w:ind w:left="2199" w:hanging="200"/>
              <w:jc w:val="both"/>
            </w:pPr>
            <w:r>
              <w:rPr>
                <w:sz w:val="22"/>
                <w:szCs w:val="20"/>
              </w:rPr>
              <w:t>桃園市政府主計處、桃園市政府交通局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511BD348" w14:textId="77777777" w:rsidR="00686DE3" w:rsidRDefault="00707E45">
            <w:pPr>
              <w:ind w:left="2315" w:hanging="616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五、資料品質</w:t>
            </w:r>
          </w:p>
          <w:p w14:paraId="338548D3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＊統計指標編製方法與資料來源說明：由桃園市政府交通局停車管理工程科所報資料彙編。</w:t>
            </w:r>
          </w:p>
          <w:p w14:paraId="1B478E10" w14:textId="77777777" w:rsidR="00686DE3" w:rsidRDefault="00707E45">
            <w:pPr>
              <w:ind w:left="1899" w:hanging="200"/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＊統計資料交叉查核及確保資料合理性之機制：總計項等於各分類項資料合計。</w:t>
            </w:r>
          </w:p>
          <w:p w14:paraId="2321B343" w14:textId="77777777" w:rsidR="00686DE3" w:rsidRDefault="00707E45">
            <w:pPr>
              <w:ind w:left="2299" w:hanging="600"/>
              <w:jc w:val="both"/>
            </w:pPr>
            <w:r>
              <w:rPr>
                <w:sz w:val="22"/>
                <w:szCs w:val="20"/>
              </w:rPr>
              <w:t>六、須注意及預定改變之事項：無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5EE6D4B3" w14:textId="77777777" w:rsidR="00686DE3" w:rsidRDefault="00707E45">
            <w:pPr>
              <w:ind w:left="2299" w:hanging="600"/>
              <w:jc w:val="both"/>
            </w:pPr>
            <w:r>
              <w:rPr>
                <w:sz w:val="22"/>
                <w:szCs w:val="20"/>
              </w:rPr>
              <w:t>七、其他事項：無</w:t>
            </w:r>
            <w:r>
              <w:rPr>
                <w:rFonts w:cs="標楷體"/>
                <w:kern w:val="0"/>
                <w:sz w:val="22"/>
                <w:szCs w:val="20"/>
              </w:rPr>
              <w:t>。</w:t>
            </w:r>
          </w:p>
          <w:p w14:paraId="587ABC2E" w14:textId="77777777" w:rsidR="00686DE3" w:rsidRDefault="00686DE3">
            <w:pPr>
              <w:spacing w:line="360" w:lineRule="exact"/>
              <w:ind w:left="2299" w:hanging="600"/>
              <w:jc w:val="both"/>
              <w:rPr>
                <w:sz w:val="20"/>
                <w:szCs w:val="20"/>
              </w:rPr>
            </w:pPr>
          </w:p>
        </w:tc>
      </w:tr>
    </w:tbl>
    <w:p w14:paraId="39E7C6AB" w14:textId="77777777" w:rsidR="00686DE3" w:rsidRDefault="00686DE3">
      <w:pPr>
        <w:ind w:left="1699"/>
        <w:rPr>
          <w:sz w:val="20"/>
          <w:szCs w:val="20"/>
        </w:rPr>
      </w:pPr>
    </w:p>
    <w:sectPr w:rsidR="00686DE3">
      <w:pgSz w:w="15135" w:h="16838"/>
      <w:pgMar w:top="0" w:right="1545" w:bottom="142" w:left="144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10E0" w14:textId="77777777" w:rsidR="00707E45" w:rsidRDefault="00707E45">
      <w:r>
        <w:separator/>
      </w:r>
    </w:p>
  </w:endnote>
  <w:endnote w:type="continuationSeparator" w:id="0">
    <w:p w14:paraId="13066D11" w14:textId="77777777" w:rsidR="00707E45" w:rsidRDefault="0070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6E8F" w14:textId="77777777" w:rsidR="00707E45" w:rsidRDefault="00707E45">
      <w:r>
        <w:rPr>
          <w:color w:val="000000"/>
        </w:rPr>
        <w:separator/>
      </w:r>
    </w:p>
  </w:footnote>
  <w:footnote w:type="continuationSeparator" w:id="0">
    <w:p w14:paraId="2A0A3167" w14:textId="77777777" w:rsidR="00707E45" w:rsidRDefault="0070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06A39"/>
    <w:multiLevelType w:val="multilevel"/>
    <w:tmpl w:val="D53CFB6E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307B1E6C"/>
    <w:multiLevelType w:val="multilevel"/>
    <w:tmpl w:val="A63A94E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7660DFB"/>
    <w:multiLevelType w:val="multilevel"/>
    <w:tmpl w:val="F716998C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C6B1433"/>
    <w:multiLevelType w:val="multilevel"/>
    <w:tmpl w:val="224E880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60448137">
    <w:abstractNumId w:val="3"/>
  </w:num>
  <w:num w:numId="2" w16cid:durableId="574167360">
    <w:abstractNumId w:val="0"/>
  </w:num>
  <w:num w:numId="3" w16cid:durableId="321664878">
    <w:abstractNumId w:val="2"/>
  </w:num>
  <w:num w:numId="4" w16cid:durableId="1506938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86DE3"/>
    <w:rsid w:val="00686DE3"/>
    <w:rsid w:val="0070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B633"/>
  <w15:docId w15:val="{5D162A7A-2196-4CD8-95AA-F9ECAD11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character" w:styleId="ab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TyCWS</cp:lastModifiedBy>
  <cp:revision>2</cp:revision>
  <cp:lastPrinted>2025-03-11T06:24:00Z</cp:lastPrinted>
  <dcterms:created xsi:type="dcterms:W3CDTF">2025-03-20T08:33:00Z</dcterms:created>
  <dcterms:modified xsi:type="dcterms:W3CDTF">2025-03-20T08:33:00Z</dcterms:modified>
</cp:coreProperties>
</file>