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2" w:type="dxa"/>
        <w:tblInd w:w="-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2"/>
      </w:tblGrid>
      <w:tr w:rsidR="00CC0590">
        <w:trPr>
          <w:trHeight w:val="13038"/>
        </w:trPr>
        <w:tc>
          <w:tcPr>
            <w:tcW w:w="101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90" w:rsidRDefault="00E452F3">
            <w:pPr>
              <w:pStyle w:val="Standard"/>
              <w:spacing w:line="360" w:lineRule="exact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</w:rPr>
              <w:t>統計資料背景說明</w:t>
            </w:r>
          </w:p>
          <w:p w:rsidR="00CC0590" w:rsidRDefault="00E452F3">
            <w:pPr>
              <w:pStyle w:val="Standard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資料種類：食品及藥物管理統計</w:t>
            </w:r>
          </w:p>
          <w:p w:rsidR="00CC0590" w:rsidRDefault="00E452F3">
            <w:pPr>
              <w:pStyle w:val="Standard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資料項目：桃園市藥政管理</w:t>
            </w:r>
          </w:p>
          <w:p w:rsidR="00CC0590" w:rsidRDefault="00E452F3">
            <w:pPr>
              <w:pStyle w:val="Standard"/>
              <w:spacing w:before="180"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一、發布及編製機關單位</w:t>
            </w:r>
          </w:p>
          <w:p w:rsidR="00CC0590" w:rsidRDefault="00E452F3">
            <w:pPr>
              <w:pStyle w:val="Standard"/>
              <w:spacing w:line="360" w:lineRule="exact"/>
              <w:ind w:left="720" w:hanging="426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＊發布機關、單位：桃園市政府衛生局會計室</w:t>
            </w:r>
          </w:p>
          <w:p w:rsidR="00CC0590" w:rsidRDefault="00E452F3">
            <w:pPr>
              <w:pStyle w:val="Standard"/>
              <w:spacing w:line="360" w:lineRule="exact"/>
              <w:ind w:left="720" w:hanging="426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＊編製單位：桃園市政府衛生局藥政管理暨稽查科</w:t>
            </w:r>
          </w:p>
          <w:p w:rsidR="00CC0590" w:rsidRDefault="00E452F3">
            <w:pPr>
              <w:pStyle w:val="Standard"/>
              <w:spacing w:line="360" w:lineRule="exact"/>
              <w:ind w:left="720" w:hanging="426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＊聯絡電話：</w:t>
            </w:r>
            <w:r>
              <w:rPr>
                <w:rFonts w:ascii="Times New Roman" w:hAnsi="Times New Roman"/>
                <w:spacing w:val="-4"/>
                <w:sz w:val="28"/>
              </w:rPr>
              <w:t>(03)334-0935</w:t>
            </w:r>
            <w:r>
              <w:rPr>
                <w:rFonts w:ascii="Times New Roman" w:hAnsi="Times New Roman"/>
                <w:spacing w:val="-4"/>
                <w:sz w:val="28"/>
              </w:rPr>
              <w:t>分機</w:t>
            </w:r>
            <w:r>
              <w:rPr>
                <w:rFonts w:ascii="Times New Roman" w:hAnsi="Times New Roman"/>
                <w:spacing w:val="-4"/>
                <w:sz w:val="28"/>
              </w:rPr>
              <w:t>2903</w:t>
            </w:r>
          </w:p>
          <w:p w:rsidR="00CC0590" w:rsidRDefault="00E452F3">
            <w:pPr>
              <w:pStyle w:val="Standard"/>
              <w:spacing w:line="360" w:lineRule="exact"/>
              <w:ind w:left="720" w:hanging="426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＊傳真：</w:t>
            </w:r>
            <w:r>
              <w:rPr>
                <w:rFonts w:ascii="Times New Roman" w:hAnsi="Times New Roman"/>
                <w:spacing w:val="-4"/>
                <w:sz w:val="28"/>
              </w:rPr>
              <w:t>(03)336-4254</w:t>
            </w:r>
          </w:p>
          <w:p w:rsidR="00CC0590" w:rsidRDefault="00E452F3">
            <w:pPr>
              <w:pStyle w:val="Standard"/>
              <w:spacing w:line="360" w:lineRule="exact"/>
              <w:ind w:left="720" w:hanging="426"/>
              <w:jc w:val="both"/>
            </w:pPr>
            <w:r>
              <w:rPr>
                <w:rFonts w:ascii="Times New Roman" w:hAnsi="Times New Roman"/>
                <w:spacing w:val="-4"/>
                <w:sz w:val="28"/>
              </w:rPr>
              <w:t>＊電子信箱：</w:t>
            </w:r>
            <w:r>
              <w:rPr>
                <w:rFonts w:ascii="Times New Roman" w:hAnsi="Times New Roman"/>
                <w:spacing w:val="-4"/>
                <w:sz w:val="28"/>
              </w:rPr>
              <w:t>10062619@mail.tycg.gov.tw</w:t>
            </w:r>
          </w:p>
          <w:p w:rsidR="00CC0590" w:rsidRDefault="00E452F3">
            <w:pPr>
              <w:pStyle w:val="Standard"/>
              <w:spacing w:before="180" w:line="360" w:lineRule="exact"/>
              <w:ind w:left="539" w:hanging="53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二、發布形式</w:t>
            </w:r>
          </w:p>
          <w:p w:rsidR="00CC0590" w:rsidRDefault="00E452F3">
            <w:pPr>
              <w:pStyle w:val="Standard"/>
              <w:numPr>
                <w:ilvl w:val="0"/>
                <w:numId w:val="9"/>
              </w:num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口頭：</w:t>
            </w:r>
          </w:p>
          <w:p w:rsidR="00CC0590" w:rsidRDefault="00E452F3">
            <w:pPr>
              <w:pStyle w:val="Standard"/>
              <w:spacing w:line="360" w:lineRule="exact"/>
              <w:ind w:firstLine="504"/>
              <w:jc w:val="both"/>
            </w:pPr>
            <w:r>
              <w:rPr>
                <w:rFonts w:ascii="Times New Roman" w:hAnsi="Times New Roman"/>
                <w:sz w:val="28"/>
              </w:rPr>
              <w:t>（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）記者會或說明會</w:t>
            </w:r>
          </w:p>
          <w:p w:rsidR="00CC0590" w:rsidRDefault="00E452F3">
            <w:pPr>
              <w:pStyle w:val="Standard"/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書面：</w:t>
            </w:r>
          </w:p>
          <w:p w:rsidR="00CC0590" w:rsidRDefault="00E452F3">
            <w:pPr>
              <w:pStyle w:val="Standard"/>
              <w:spacing w:line="360" w:lineRule="exact"/>
              <w:ind w:firstLine="504"/>
              <w:jc w:val="both"/>
            </w:pPr>
            <w:r>
              <w:rPr>
                <w:rFonts w:ascii="Times New Roman" w:hAnsi="Times New Roman"/>
                <w:sz w:val="28"/>
              </w:rPr>
              <w:t>（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）新聞稿</w:t>
            </w:r>
            <w:r>
              <w:rPr>
                <w:rFonts w:ascii="Times New Roman" w:eastAsia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（</w:t>
            </w:r>
            <w:r>
              <w:rPr>
                <w:rFonts w:ascii="新細明體" w:eastAsia="新細明體" w:hAnsi="新細明體" w:cs="Symbol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</w:rPr>
              <w:t>）報表   （ ）書刊，刊名：</w:t>
            </w:r>
          </w:p>
          <w:p w:rsidR="00CC0590" w:rsidRDefault="00E452F3">
            <w:pPr>
              <w:pStyle w:val="Standard"/>
              <w:spacing w:line="360" w:lineRule="exact"/>
              <w:ind w:left="294"/>
              <w:jc w:val="both"/>
              <w:rPr>
                <w:sz w:val="28"/>
              </w:rPr>
            </w:pPr>
            <w:r>
              <w:rPr>
                <w:sz w:val="28"/>
              </w:rPr>
              <w:t>＊電子媒體：</w:t>
            </w:r>
          </w:p>
          <w:p w:rsidR="00CC0590" w:rsidRDefault="00E452F3">
            <w:pPr>
              <w:pStyle w:val="Standard"/>
              <w:spacing w:line="360" w:lineRule="exact"/>
              <w:ind w:left="1880" w:hanging="1400"/>
            </w:pPr>
            <w:r>
              <w:rPr>
                <w:sz w:val="28"/>
              </w:rPr>
              <w:t>（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</w:rPr>
              <w:t>）線上書刊及資料庫，</w:t>
            </w:r>
          </w:p>
          <w:p w:rsidR="00CC0590" w:rsidRDefault="00E452F3">
            <w:pPr>
              <w:pStyle w:val="Standard"/>
              <w:spacing w:line="360" w:lineRule="exact"/>
              <w:ind w:left="1873" w:hanging="647"/>
              <w:rPr>
                <w:sz w:val="28"/>
              </w:rPr>
            </w:pPr>
            <w:r>
              <w:rPr>
                <w:sz w:val="28"/>
              </w:rPr>
              <w:t>網址：</w:t>
            </w:r>
          </w:p>
          <w:p w:rsidR="00CC0590" w:rsidRDefault="00E452F3">
            <w:pPr>
              <w:pStyle w:val="Standard"/>
              <w:spacing w:line="360" w:lineRule="exact"/>
              <w:ind w:left="1880" w:hanging="1400"/>
            </w:pPr>
            <w:r>
              <w:rPr>
                <w:sz w:val="28"/>
              </w:rPr>
              <w:t>（ ）磁片   （ ）光碟片   （</w:t>
            </w:r>
            <w:r>
              <w:rPr>
                <w:rFonts w:ascii="Wingdings" w:hAnsi="Wingdings"/>
              </w:rPr>
              <w:t></w:t>
            </w:r>
            <w:r>
              <w:rPr>
                <w:sz w:val="28"/>
              </w:rPr>
              <w:t>）其他</w:t>
            </w:r>
          </w:p>
          <w:p w:rsidR="00CC0590" w:rsidRDefault="00E452F3">
            <w:pPr>
              <w:ind w:firstLine="475"/>
            </w:pPr>
            <w:r>
              <w:t>Open Document File (odf)</w:t>
            </w:r>
            <w:r>
              <w:rPr>
                <w:rFonts w:ascii="標楷體" w:eastAsia="標楷體" w:hAnsi="標楷體"/>
              </w:rPr>
              <w:t>、</w:t>
            </w:r>
            <w:r>
              <w:t xml:space="preserve">Portable Document Format (pdf) </w:t>
            </w:r>
            <w:r>
              <w:rPr>
                <w:rFonts w:ascii="標楷體" w:eastAsia="標楷體" w:hAnsi="標楷體"/>
              </w:rPr>
              <w:t>或</w:t>
            </w:r>
            <w:r>
              <w:t>Excel</w:t>
            </w:r>
            <w:r>
              <w:rPr>
                <w:rFonts w:ascii="標楷體" w:eastAsia="標楷體" w:hAnsi="標楷體"/>
              </w:rPr>
              <w:t>檔案。</w:t>
            </w:r>
          </w:p>
          <w:p w:rsidR="00CC0590" w:rsidRDefault="00E452F3">
            <w:pPr>
              <w:pStyle w:val="Standard"/>
              <w:spacing w:before="180" w:line="360" w:lineRule="exact"/>
              <w:ind w:left="539" w:hanging="539"/>
              <w:jc w:val="both"/>
              <w:rPr>
                <w:sz w:val="28"/>
              </w:rPr>
            </w:pPr>
            <w:r>
              <w:rPr>
                <w:sz w:val="28"/>
              </w:rPr>
              <w:t>三、資料範圍、週期及時效</w:t>
            </w:r>
          </w:p>
          <w:p w:rsidR="00CC0590" w:rsidRDefault="00E452F3">
            <w:pPr>
              <w:pStyle w:val="Standard"/>
              <w:spacing w:line="360" w:lineRule="exact"/>
              <w:ind w:left="3170" w:hanging="2932"/>
              <w:jc w:val="both"/>
              <w:rPr>
                <w:sz w:val="28"/>
              </w:rPr>
            </w:pPr>
            <w:r>
              <w:rPr>
                <w:sz w:val="28"/>
              </w:rPr>
              <w:t>＊統計地區範圍及對象：凡桃園市領有執照之藥局</w:t>
            </w:r>
            <w:r w:rsidR="0040097F"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藥商</w:t>
            </w:r>
            <w:r w:rsidR="0040097F">
              <w:rPr>
                <w:rFonts w:hint="eastAsia"/>
                <w:sz w:val="28"/>
              </w:rPr>
              <w:t>及醫療器材商</w:t>
            </w:r>
            <w:r>
              <w:rPr>
                <w:sz w:val="28"/>
              </w:rPr>
              <w:t>為統計對象。</w:t>
            </w:r>
          </w:p>
          <w:p w:rsidR="00CC0590" w:rsidRDefault="0096600D" w:rsidP="0096600D">
            <w:pPr>
              <w:pStyle w:val="Standard"/>
              <w:spacing w:line="360" w:lineRule="exact"/>
              <w:ind w:left="240"/>
              <w:jc w:val="both"/>
              <w:rPr>
                <w:rFonts w:hint="eastAsia"/>
                <w:sz w:val="28"/>
              </w:rPr>
            </w:pPr>
            <w:r>
              <w:rPr>
                <w:sz w:val="28"/>
              </w:rPr>
              <w:t>＊統計標準時間：以每年底之事實為準</w:t>
            </w:r>
            <w:r>
              <w:rPr>
                <w:rFonts w:hint="eastAsia"/>
                <w:sz w:val="28"/>
              </w:rPr>
              <w:t>。</w:t>
            </w:r>
          </w:p>
          <w:p w:rsidR="00CC0590" w:rsidRDefault="00E452F3">
            <w:pPr>
              <w:pStyle w:val="Standard"/>
              <w:spacing w:line="360" w:lineRule="exact"/>
              <w:ind w:left="240"/>
              <w:jc w:val="both"/>
              <w:rPr>
                <w:sz w:val="28"/>
              </w:rPr>
            </w:pPr>
            <w:r>
              <w:rPr>
                <w:sz w:val="28"/>
              </w:rPr>
              <w:t>＊統計項目定義：</w:t>
            </w:r>
          </w:p>
          <w:p w:rsidR="00CC0590" w:rsidRDefault="0096600D" w:rsidP="0096600D">
            <w:pPr>
              <w:pStyle w:val="Standard"/>
              <w:spacing w:line="360" w:lineRule="exact"/>
              <w:ind w:firstLine="504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 w:rsidR="00E452F3">
              <w:rPr>
                <w:sz w:val="28"/>
              </w:rPr>
              <w:t>現有停業家數：指依法辦理停業登記之藥局、藥商及醫療器材商家數。</w:t>
            </w:r>
          </w:p>
          <w:p w:rsidR="00CC0590" w:rsidRDefault="00E452F3">
            <w:pPr>
              <w:pStyle w:val="Standard"/>
              <w:spacing w:line="360" w:lineRule="exact"/>
              <w:ind w:left="240"/>
              <w:jc w:val="both"/>
              <w:rPr>
                <w:sz w:val="28"/>
              </w:rPr>
            </w:pPr>
            <w:r>
              <w:rPr>
                <w:sz w:val="28"/>
              </w:rPr>
              <w:t>＊統計單位：家。</w:t>
            </w:r>
          </w:p>
          <w:p w:rsidR="00CC0590" w:rsidRDefault="00E452F3">
            <w:pPr>
              <w:pStyle w:val="Standard"/>
              <w:spacing w:line="360" w:lineRule="exact"/>
              <w:ind w:left="240"/>
              <w:jc w:val="both"/>
              <w:rPr>
                <w:sz w:val="28"/>
              </w:rPr>
            </w:pPr>
            <w:r>
              <w:rPr>
                <w:sz w:val="28"/>
              </w:rPr>
              <w:t>＊統計分類：</w:t>
            </w:r>
          </w:p>
          <w:p w:rsidR="00CC0590" w:rsidRDefault="0096600D" w:rsidP="0096600D">
            <w:pPr>
              <w:pStyle w:val="Standard"/>
              <w:spacing w:line="360" w:lineRule="exact"/>
              <w:jc w:val="both"/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E452F3">
              <w:rPr>
                <w:sz w:val="28"/>
                <w:szCs w:val="28"/>
              </w:rPr>
              <w:t>(一)縱項目按現有停業家數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藥局、藥商及醫療器材商</w:t>
            </w:r>
            <w:r w:rsidR="00E452F3">
              <w:rPr>
                <w:sz w:val="28"/>
                <w:szCs w:val="28"/>
              </w:rPr>
              <w:t>分。</w:t>
            </w:r>
          </w:p>
          <w:p w:rsidR="00CC0590" w:rsidRDefault="0096600D">
            <w:pPr>
              <w:pStyle w:val="Standard"/>
              <w:spacing w:line="360" w:lineRule="exact"/>
              <w:ind w:left="240"/>
              <w:jc w:val="both"/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E452F3">
              <w:rPr>
                <w:sz w:val="28"/>
                <w:szCs w:val="28"/>
              </w:rPr>
              <w:t>(二)橫項目按鄉鎮市區別分。</w:t>
            </w:r>
          </w:p>
          <w:p w:rsidR="00CC0590" w:rsidRDefault="00E452F3">
            <w:pPr>
              <w:pStyle w:val="Standard"/>
              <w:spacing w:line="360" w:lineRule="exact"/>
              <w:ind w:left="240"/>
              <w:jc w:val="both"/>
              <w:rPr>
                <w:sz w:val="28"/>
              </w:rPr>
            </w:pPr>
            <w:r>
              <w:rPr>
                <w:sz w:val="28"/>
              </w:rPr>
              <w:t>＊發布週期(指資料編製或產生之頻率，如月、季、年等)：年。</w:t>
            </w:r>
          </w:p>
          <w:p w:rsidR="00CC0590" w:rsidRDefault="00E452F3">
            <w:pPr>
              <w:pStyle w:val="Standard"/>
              <w:spacing w:line="360" w:lineRule="exact"/>
              <w:ind w:left="240"/>
              <w:jc w:val="both"/>
            </w:pPr>
            <w:r>
              <w:rPr>
                <w:sz w:val="28"/>
              </w:rPr>
              <w:t>＊時效(指統計標準時間至資料發布時間之間隔時間) ：1個月又5日</w:t>
            </w:r>
            <w:r>
              <w:rPr>
                <w:spacing w:val="-4"/>
                <w:sz w:val="28"/>
              </w:rPr>
              <w:t>。</w:t>
            </w:r>
          </w:p>
          <w:p w:rsidR="00CC0590" w:rsidRDefault="00E452F3">
            <w:pPr>
              <w:pStyle w:val="Standard"/>
              <w:spacing w:line="360" w:lineRule="exact"/>
              <w:ind w:left="560" w:hanging="308"/>
              <w:jc w:val="both"/>
              <w:rPr>
                <w:sz w:val="28"/>
              </w:rPr>
            </w:pPr>
            <w:r>
              <w:rPr>
                <w:sz w:val="28"/>
              </w:rPr>
              <w:t>＊資料變革：無。</w:t>
            </w:r>
          </w:p>
          <w:p w:rsidR="00CC0590" w:rsidRDefault="00E452F3">
            <w:pPr>
              <w:pStyle w:val="Standard"/>
              <w:spacing w:before="180" w:line="360" w:lineRule="exact"/>
              <w:ind w:left="618" w:hanging="618"/>
              <w:jc w:val="both"/>
              <w:rPr>
                <w:sz w:val="28"/>
              </w:rPr>
            </w:pPr>
            <w:r>
              <w:rPr>
                <w:sz w:val="28"/>
              </w:rPr>
              <w:t>四、公開資料發布訊息</w:t>
            </w:r>
          </w:p>
          <w:p w:rsidR="00CC0590" w:rsidRDefault="00E452F3">
            <w:pPr>
              <w:pStyle w:val="Standard"/>
              <w:spacing w:line="360" w:lineRule="exact"/>
              <w:ind w:left="520" w:hanging="280"/>
              <w:jc w:val="both"/>
            </w:pPr>
            <w:r>
              <w:rPr>
                <w:sz w:val="28"/>
              </w:rPr>
              <w:t>＊預告發布日期(含預告方式及週期)：次</w:t>
            </w:r>
            <w:r>
              <w:rPr>
                <w:spacing w:val="-4"/>
                <w:sz w:val="28"/>
              </w:rPr>
              <w:t>年2月5日(遇假日順延)以報表、網際網路發布。</w:t>
            </w:r>
          </w:p>
          <w:p w:rsidR="00CC0590" w:rsidRDefault="00E452F3">
            <w:pPr>
              <w:pStyle w:val="Standard"/>
              <w:spacing w:line="360" w:lineRule="exact"/>
              <w:ind w:left="560" w:hanging="308"/>
              <w:jc w:val="both"/>
            </w:pPr>
            <w:r>
              <w:rPr>
                <w:sz w:val="28"/>
              </w:rPr>
              <w:t>＊同步發送單位(說明資料發布時同步發送之單位或可同步查得該資料之網址)：衛生福利部食品藥物管理署、桃園市政府主計處。</w:t>
            </w:r>
          </w:p>
          <w:p w:rsidR="00CC0590" w:rsidRDefault="00E452F3">
            <w:pPr>
              <w:pStyle w:val="Standard"/>
              <w:spacing w:before="180" w:line="360" w:lineRule="exact"/>
              <w:ind w:left="618" w:hanging="618"/>
              <w:jc w:val="both"/>
              <w:rPr>
                <w:sz w:val="28"/>
              </w:rPr>
            </w:pPr>
            <w:r>
              <w:rPr>
                <w:sz w:val="28"/>
              </w:rPr>
              <w:t>五、資料品質</w:t>
            </w:r>
          </w:p>
          <w:p w:rsidR="00CC0590" w:rsidRDefault="00E452F3">
            <w:pPr>
              <w:pStyle w:val="Standard"/>
              <w:tabs>
                <w:tab w:val="left" w:pos="9052"/>
              </w:tabs>
              <w:spacing w:line="360" w:lineRule="exact"/>
              <w:ind w:left="532" w:hanging="294"/>
              <w:jc w:val="both"/>
              <w:rPr>
                <w:sz w:val="28"/>
              </w:rPr>
            </w:pPr>
            <w:r>
              <w:rPr>
                <w:sz w:val="28"/>
              </w:rPr>
              <w:t>＊統計指標編製方法與資料來源說明：依據桃園市政府衛生局登記及查報資料</w:t>
            </w:r>
            <w:r>
              <w:rPr>
                <w:sz w:val="28"/>
              </w:rPr>
              <w:lastRenderedPageBreak/>
              <w:t>彙編。</w:t>
            </w:r>
          </w:p>
          <w:p w:rsidR="00CC0590" w:rsidRDefault="00E452F3">
            <w:pPr>
              <w:pStyle w:val="Standard"/>
              <w:spacing w:before="180" w:line="360" w:lineRule="exact"/>
              <w:ind w:left="560" w:hanging="5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＊統計資料交叉查核及確保資料合理性之機制(說明各項資料之相互關係及不同資料來源之相關統計差異性)：總計欄等於13區衛生所加總。</w:t>
            </w:r>
          </w:p>
          <w:p w:rsidR="00CC0590" w:rsidRDefault="00E452F3">
            <w:pPr>
              <w:pStyle w:val="Standard"/>
              <w:spacing w:before="180" w:line="360" w:lineRule="exact"/>
              <w:ind w:left="560" w:hanging="560"/>
              <w:jc w:val="both"/>
              <w:rPr>
                <w:sz w:val="28"/>
              </w:rPr>
            </w:pPr>
            <w:r>
              <w:rPr>
                <w:sz w:val="28"/>
              </w:rPr>
              <w:t>六、須注意及預定改變之事項(說明預定修正之資料、定義、統計方法等及其修正原因)：無。</w:t>
            </w:r>
          </w:p>
          <w:p w:rsidR="00CC0590" w:rsidRDefault="00E452F3">
            <w:pPr>
              <w:pStyle w:val="Standard"/>
              <w:spacing w:before="180" w:line="360" w:lineRule="exact"/>
              <w:ind w:left="601" w:hanging="601"/>
              <w:jc w:val="both"/>
              <w:rPr>
                <w:sz w:val="28"/>
              </w:rPr>
            </w:pPr>
            <w:r>
              <w:rPr>
                <w:sz w:val="28"/>
              </w:rPr>
              <w:t>七、其他事項：無。</w:t>
            </w:r>
          </w:p>
          <w:p w:rsidR="00CC0590" w:rsidRDefault="00CC0590">
            <w:pPr>
              <w:pStyle w:val="Standard"/>
              <w:spacing w:before="240" w:line="360" w:lineRule="exact"/>
              <w:jc w:val="both"/>
              <w:rPr>
                <w:rFonts w:ascii="Times New Roman" w:eastAsia="Symbol" w:hAnsi="Times New Roman"/>
                <w:sz w:val="28"/>
              </w:rPr>
            </w:pPr>
          </w:p>
        </w:tc>
      </w:tr>
    </w:tbl>
    <w:p w:rsidR="00CC0590" w:rsidRDefault="00CC0590">
      <w:pPr>
        <w:pStyle w:val="Standard"/>
        <w:spacing w:line="360" w:lineRule="exact"/>
        <w:rPr>
          <w:rFonts w:eastAsia="Symbol" w:hint="eastAsia"/>
        </w:rPr>
      </w:pPr>
      <w:bookmarkStart w:id="0" w:name="_GoBack"/>
      <w:bookmarkEnd w:id="0"/>
    </w:p>
    <w:sectPr w:rsidR="00CC0590">
      <w:pgSz w:w="11906" w:h="16838"/>
      <w:pgMar w:top="900" w:right="746" w:bottom="720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FE" w:rsidRDefault="006A24FE">
      <w:r>
        <w:separator/>
      </w:r>
    </w:p>
  </w:endnote>
  <w:endnote w:type="continuationSeparator" w:id="0">
    <w:p w:rsidR="006A24FE" w:rsidRDefault="006A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FE" w:rsidRDefault="006A24FE">
      <w:r>
        <w:rPr>
          <w:color w:val="000000"/>
        </w:rPr>
        <w:separator/>
      </w:r>
    </w:p>
  </w:footnote>
  <w:footnote w:type="continuationSeparator" w:id="0">
    <w:p w:rsidR="006A24FE" w:rsidRDefault="006A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80E"/>
    <w:multiLevelType w:val="multilevel"/>
    <w:tmpl w:val="5F0A9FCC"/>
    <w:styleLink w:val="WW8Num11"/>
    <w:lvl w:ilvl="0">
      <w:start w:val="1"/>
      <w:numFmt w:val="decimal"/>
      <w:lvlText w:val="%1."/>
      <w:lvlJc w:val="left"/>
      <w:pPr>
        <w:ind w:left="1545" w:hanging="360"/>
      </w:pPr>
    </w:lvl>
    <w:lvl w:ilvl="1">
      <w:start w:val="1"/>
      <w:numFmt w:val="ideographTraditional"/>
      <w:lvlText w:val="%2、"/>
      <w:lvlJc w:val="left"/>
      <w:pPr>
        <w:ind w:left="2145" w:hanging="480"/>
      </w:pPr>
    </w:lvl>
    <w:lvl w:ilvl="2">
      <w:start w:val="1"/>
      <w:numFmt w:val="lowerRoman"/>
      <w:lvlText w:val="%3."/>
      <w:lvlJc w:val="right"/>
      <w:pPr>
        <w:ind w:left="2625" w:hanging="480"/>
      </w:pPr>
    </w:lvl>
    <w:lvl w:ilvl="3">
      <w:start w:val="1"/>
      <w:numFmt w:val="decimal"/>
      <w:lvlText w:val="%4."/>
      <w:lvlJc w:val="left"/>
      <w:pPr>
        <w:ind w:left="3105" w:hanging="480"/>
      </w:pPr>
    </w:lvl>
    <w:lvl w:ilvl="4">
      <w:start w:val="1"/>
      <w:numFmt w:val="ideographTraditional"/>
      <w:lvlText w:val="%5、"/>
      <w:lvlJc w:val="left"/>
      <w:pPr>
        <w:ind w:left="3585" w:hanging="480"/>
      </w:pPr>
    </w:lvl>
    <w:lvl w:ilvl="5">
      <w:start w:val="1"/>
      <w:numFmt w:val="lowerRoman"/>
      <w:lvlText w:val="%6."/>
      <w:lvlJc w:val="right"/>
      <w:pPr>
        <w:ind w:left="4065" w:hanging="480"/>
      </w:pPr>
    </w:lvl>
    <w:lvl w:ilvl="6">
      <w:start w:val="1"/>
      <w:numFmt w:val="decimal"/>
      <w:lvlText w:val="%7."/>
      <w:lvlJc w:val="left"/>
      <w:pPr>
        <w:ind w:left="4545" w:hanging="480"/>
      </w:pPr>
    </w:lvl>
    <w:lvl w:ilvl="7">
      <w:start w:val="1"/>
      <w:numFmt w:val="ideographTraditional"/>
      <w:lvlText w:val="%8、"/>
      <w:lvlJc w:val="left"/>
      <w:pPr>
        <w:ind w:left="5025" w:hanging="480"/>
      </w:pPr>
    </w:lvl>
    <w:lvl w:ilvl="8">
      <w:start w:val="1"/>
      <w:numFmt w:val="lowerRoman"/>
      <w:lvlText w:val="%9."/>
      <w:lvlJc w:val="right"/>
      <w:pPr>
        <w:ind w:left="5505" w:hanging="480"/>
      </w:pPr>
    </w:lvl>
  </w:abstractNum>
  <w:abstractNum w:abstractNumId="1" w15:restartNumberingAfterBreak="0">
    <w:nsid w:val="09C3384A"/>
    <w:multiLevelType w:val="multilevel"/>
    <w:tmpl w:val="7F3485A4"/>
    <w:styleLink w:val="WW8Num6"/>
    <w:lvl w:ilvl="0">
      <w:start w:val="1"/>
      <w:numFmt w:val="japaneseCounting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E7282F"/>
    <w:multiLevelType w:val="multilevel"/>
    <w:tmpl w:val="ADD661F8"/>
    <w:styleLink w:val="WW8Num2"/>
    <w:lvl w:ilvl="0">
      <w:start w:val="1"/>
      <w:numFmt w:val="decimal"/>
      <w:lvlText w:val="%1."/>
      <w:lvlJc w:val="left"/>
      <w:pPr>
        <w:ind w:left="1628" w:hanging="480"/>
      </w:pPr>
    </w:lvl>
    <w:lvl w:ilvl="1">
      <w:start w:val="1"/>
      <w:numFmt w:val="ideographTraditional"/>
      <w:lvlText w:val="%2、"/>
      <w:lvlJc w:val="left"/>
      <w:pPr>
        <w:ind w:left="2108" w:hanging="480"/>
      </w:pPr>
    </w:lvl>
    <w:lvl w:ilvl="2">
      <w:start w:val="1"/>
      <w:numFmt w:val="lowerRoman"/>
      <w:lvlText w:val="%3."/>
      <w:lvlJc w:val="right"/>
      <w:pPr>
        <w:ind w:left="2588" w:hanging="480"/>
      </w:pPr>
    </w:lvl>
    <w:lvl w:ilvl="3">
      <w:start w:val="1"/>
      <w:numFmt w:val="decimal"/>
      <w:lvlText w:val="%4."/>
      <w:lvlJc w:val="left"/>
      <w:pPr>
        <w:ind w:left="3068" w:hanging="480"/>
      </w:pPr>
    </w:lvl>
    <w:lvl w:ilvl="4">
      <w:start w:val="1"/>
      <w:numFmt w:val="ideographTraditional"/>
      <w:lvlText w:val="%5、"/>
      <w:lvlJc w:val="left"/>
      <w:pPr>
        <w:ind w:left="3548" w:hanging="480"/>
      </w:pPr>
    </w:lvl>
    <w:lvl w:ilvl="5">
      <w:start w:val="1"/>
      <w:numFmt w:val="lowerRoman"/>
      <w:lvlText w:val="%6."/>
      <w:lvlJc w:val="right"/>
      <w:pPr>
        <w:ind w:left="4028" w:hanging="480"/>
      </w:pPr>
    </w:lvl>
    <w:lvl w:ilvl="6">
      <w:start w:val="1"/>
      <w:numFmt w:val="decimal"/>
      <w:lvlText w:val="%7."/>
      <w:lvlJc w:val="left"/>
      <w:pPr>
        <w:ind w:left="4508" w:hanging="480"/>
      </w:pPr>
    </w:lvl>
    <w:lvl w:ilvl="7">
      <w:start w:val="1"/>
      <w:numFmt w:val="ideographTraditional"/>
      <w:lvlText w:val="%8、"/>
      <w:lvlJc w:val="left"/>
      <w:pPr>
        <w:ind w:left="4988" w:hanging="480"/>
      </w:pPr>
    </w:lvl>
    <w:lvl w:ilvl="8">
      <w:start w:val="1"/>
      <w:numFmt w:val="lowerRoman"/>
      <w:lvlText w:val="%9."/>
      <w:lvlJc w:val="right"/>
      <w:pPr>
        <w:ind w:left="5468" w:hanging="480"/>
      </w:pPr>
    </w:lvl>
  </w:abstractNum>
  <w:abstractNum w:abstractNumId="3" w15:restartNumberingAfterBreak="0">
    <w:nsid w:val="1F983942"/>
    <w:multiLevelType w:val="multilevel"/>
    <w:tmpl w:val="BEF8C54A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7650F9"/>
    <w:multiLevelType w:val="multilevel"/>
    <w:tmpl w:val="3CB43D58"/>
    <w:styleLink w:val="WW8Num9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049016B"/>
    <w:multiLevelType w:val="multilevel"/>
    <w:tmpl w:val="4B7EA27C"/>
    <w:styleLink w:val="WW8Num7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668231E"/>
    <w:multiLevelType w:val="multilevel"/>
    <w:tmpl w:val="BF82875A"/>
    <w:styleLink w:val="WW8Num10"/>
    <w:lvl w:ilvl="0">
      <w:start w:val="1"/>
      <w:numFmt w:val="japaneseCounting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7FA4BD3"/>
    <w:multiLevelType w:val="multilevel"/>
    <w:tmpl w:val="2FE86722"/>
    <w:styleLink w:val="WW8Num4"/>
    <w:lvl w:ilvl="0">
      <w:start w:val="1"/>
      <w:numFmt w:val="decimal"/>
      <w:lvlText w:val="%1."/>
      <w:lvlJc w:val="left"/>
      <w:pPr>
        <w:ind w:left="1628" w:hanging="480"/>
      </w:pPr>
    </w:lvl>
    <w:lvl w:ilvl="1">
      <w:start w:val="1"/>
      <w:numFmt w:val="ideographTraditional"/>
      <w:lvlText w:val="%2、"/>
      <w:lvlJc w:val="left"/>
      <w:pPr>
        <w:ind w:left="668" w:hanging="480"/>
      </w:pPr>
    </w:lvl>
    <w:lvl w:ilvl="2">
      <w:start w:val="1"/>
      <w:numFmt w:val="lowerRoman"/>
      <w:lvlText w:val="%3."/>
      <w:lvlJc w:val="right"/>
      <w:pPr>
        <w:ind w:left="1148" w:hanging="480"/>
      </w:pPr>
    </w:lvl>
    <w:lvl w:ilvl="3">
      <w:start w:val="1"/>
      <w:numFmt w:val="decimal"/>
      <w:lvlText w:val="%4."/>
      <w:lvlJc w:val="left"/>
      <w:pPr>
        <w:ind w:left="1628" w:hanging="480"/>
      </w:pPr>
    </w:lvl>
    <w:lvl w:ilvl="4">
      <w:start w:val="1"/>
      <w:numFmt w:val="ideographTraditional"/>
      <w:lvlText w:val="%5、"/>
      <w:lvlJc w:val="left"/>
      <w:pPr>
        <w:ind w:left="2108" w:hanging="480"/>
      </w:pPr>
    </w:lvl>
    <w:lvl w:ilvl="5">
      <w:start w:val="1"/>
      <w:numFmt w:val="lowerRoman"/>
      <w:lvlText w:val="%6."/>
      <w:lvlJc w:val="right"/>
      <w:pPr>
        <w:ind w:left="2588" w:hanging="480"/>
      </w:pPr>
    </w:lvl>
    <w:lvl w:ilvl="6">
      <w:start w:val="1"/>
      <w:numFmt w:val="decimal"/>
      <w:lvlText w:val="%7."/>
      <w:lvlJc w:val="left"/>
      <w:pPr>
        <w:ind w:left="3068" w:hanging="480"/>
      </w:pPr>
    </w:lvl>
    <w:lvl w:ilvl="7">
      <w:start w:val="1"/>
      <w:numFmt w:val="ideographTraditional"/>
      <w:lvlText w:val="%8、"/>
      <w:lvlJc w:val="left"/>
      <w:pPr>
        <w:ind w:left="3548" w:hanging="480"/>
      </w:pPr>
    </w:lvl>
    <w:lvl w:ilvl="8">
      <w:start w:val="1"/>
      <w:numFmt w:val="lowerRoman"/>
      <w:lvlText w:val="%9."/>
      <w:lvlJc w:val="right"/>
      <w:pPr>
        <w:ind w:left="4028" w:hanging="480"/>
      </w:pPr>
    </w:lvl>
  </w:abstractNum>
  <w:abstractNum w:abstractNumId="8" w15:restartNumberingAfterBreak="0">
    <w:nsid w:val="620221A9"/>
    <w:multiLevelType w:val="multilevel"/>
    <w:tmpl w:val="0D909B22"/>
    <w:styleLink w:val="WW8Num8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C1534FD"/>
    <w:multiLevelType w:val="multilevel"/>
    <w:tmpl w:val="25FCC0F0"/>
    <w:styleLink w:val="WW8Num5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48721CF"/>
    <w:multiLevelType w:val="multilevel"/>
    <w:tmpl w:val="69D4854C"/>
    <w:styleLink w:val="WW8Num1"/>
    <w:lvl w:ilvl="0">
      <w:start w:val="1"/>
      <w:numFmt w:val="decimal"/>
      <w:lvlText w:val="%1."/>
      <w:lvlJc w:val="left"/>
      <w:pPr>
        <w:ind w:left="2419" w:hanging="480"/>
      </w:pPr>
    </w:lvl>
    <w:lvl w:ilvl="1">
      <w:start w:val="1"/>
      <w:numFmt w:val="ideographTraditional"/>
      <w:lvlText w:val="%2、"/>
      <w:lvlJc w:val="left"/>
      <w:pPr>
        <w:ind w:left="1459" w:hanging="480"/>
      </w:pPr>
    </w:lvl>
    <w:lvl w:ilvl="2">
      <w:start w:val="1"/>
      <w:numFmt w:val="lowerRoman"/>
      <w:lvlText w:val="%3."/>
      <w:lvlJc w:val="right"/>
      <w:pPr>
        <w:ind w:left="1939" w:hanging="480"/>
      </w:pPr>
    </w:lvl>
    <w:lvl w:ilvl="3">
      <w:start w:val="1"/>
      <w:numFmt w:val="decimal"/>
      <w:lvlText w:val="%4."/>
      <w:lvlJc w:val="left"/>
      <w:pPr>
        <w:ind w:left="2419" w:hanging="480"/>
      </w:pPr>
    </w:lvl>
    <w:lvl w:ilvl="4">
      <w:start w:val="1"/>
      <w:numFmt w:val="ideographTraditional"/>
      <w:lvlText w:val="%5、"/>
      <w:lvlJc w:val="left"/>
      <w:pPr>
        <w:ind w:left="2899" w:hanging="480"/>
      </w:pPr>
    </w:lvl>
    <w:lvl w:ilvl="5">
      <w:start w:val="1"/>
      <w:numFmt w:val="lowerRoman"/>
      <w:lvlText w:val="%6."/>
      <w:lvlJc w:val="right"/>
      <w:pPr>
        <w:ind w:left="3379" w:hanging="480"/>
      </w:pPr>
    </w:lvl>
    <w:lvl w:ilvl="6">
      <w:start w:val="1"/>
      <w:numFmt w:val="decimal"/>
      <w:lvlText w:val="%7."/>
      <w:lvlJc w:val="left"/>
      <w:pPr>
        <w:ind w:left="3859" w:hanging="480"/>
      </w:pPr>
    </w:lvl>
    <w:lvl w:ilvl="7">
      <w:start w:val="1"/>
      <w:numFmt w:val="ideographTraditional"/>
      <w:lvlText w:val="%8、"/>
      <w:lvlJc w:val="left"/>
      <w:pPr>
        <w:ind w:left="4339" w:hanging="480"/>
      </w:pPr>
    </w:lvl>
    <w:lvl w:ilvl="8">
      <w:start w:val="1"/>
      <w:numFmt w:val="lowerRoman"/>
      <w:lvlText w:val="%9."/>
      <w:lvlJc w:val="right"/>
      <w:pPr>
        <w:ind w:left="4819" w:hanging="4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90"/>
    <w:rsid w:val="0040097F"/>
    <w:rsid w:val="006A24FE"/>
    <w:rsid w:val="0096600D"/>
    <w:rsid w:val="00CC0590"/>
    <w:rsid w:val="00E452F3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21A26"/>
  <w15:docId w15:val="{091A0297-EC3B-44A3-8328-90556829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List Paragraph"/>
    <w:basedOn w:val="Standard"/>
    <w:pPr>
      <w:ind w:left="480"/>
    </w:pPr>
  </w:style>
  <w:style w:type="paragraph" w:customStyle="1" w:styleId="1">
    <w:name w:val="1.章"/>
    <w:basedOn w:val="a6"/>
    <w:pPr>
      <w:numPr>
        <w:numId w:val="6"/>
      </w:numPr>
    </w:pPr>
    <w:rPr>
      <w:rFonts w:ascii="Times New Roman" w:hAnsi="Times New Roman" w:cs="標楷體"/>
      <w:sz w:val="32"/>
      <w:szCs w:val="32"/>
    </w:rPr>
  </w:style>
  <w:style w:type="paragraph" w:customStyle="1" w:styleId="a">
    <w:name w:val="節"/>
    <w:basedOn w:val="a6"/>
    <w:pPr>
      <w:numPr>
        <w:numId w:val="10"/>
      </w:numPr>
    </w:pPr>
    <w:rPr>
      <w:rFonts w:ascii="Times New Roman" w:hAnsi="Times New Roman" w:cs="標楷體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a9">
    <w:name w:val="清單段落 字元"/>
    <w:rPr>
      <w:kern w:val="3"/>
      <w:sz w:val="24"/>
      <w:szCs w:val="22"/>
    </w:rPr>
  </w:style>
  <w:style w:type="character" w:customStyle="1" w:styleId="10">
    <w:name w:val="1.章 字元"/>
    <w:rPr>
      <w:rFonts w:ascii="Times New Roman" w:eastAsia="標楷體" w:hAnsi="Times New Roman" w:cs="標楷體"/>
      <w:kern w:val="3"/>
      <w:sz w:val="32"/>
      <w:szCs w:val="32"/>
    </w:rPr>
  </w:style>
  <w:style w:type="character" w:customStyle="1" w:styleId="aa">
    <w:name w:val="節 字元"/>
    <w:rPr>
      <w:rFonts w:ascii="Times New Roman" w:eastAsia="標楷體" w:hAnsi="Times New Roman" w:cs="標楷體"/>
      <w:kern w:val="3"/>
      <w:sz w:val="24"/>
      <w:szCs w:val="22"/>
    </w:rPr>
  </w:style>
  <w:style w:type="character" w:customStyle="1" w:styleId="ab">
    <w:name w:val="頁首 字元"/>
    <w:rPr>
      <w:rFonts w:ascii="標楷體" w:eastAsia="標楷體" w:hAnsi="標楷體" w:cs="標楷體"/>
      <w:kern w:val="3"/>
    </w:rPr>
  </w:style>
  <w:style w:type="character" w:customStyle="1" w:styleId="ac">
    <w:name w:val="頁尾 字元"/>
    <w:rPr>
      <w:rFonts w:ascii="標楷體" w:eastAsia="標楷體" w:hAnsi="標楷體" w:cs="標楷體"/>
      <w:kern w:val="3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creator>Damita</dc:creator>
  <cp:lastModifiedBy>User</cp:lastModifiedBy>
  <cp:revision>2</cp:revision>
  <cp:lastPrinted>2014-12-01T13:37:00Z</cp:lastPrinted>
  <dcterms:created xsi:type="dcterms:W3CDTF">2024-09-20T05:50:00Z</dcterms:created>
  <dcterms:modified xsi:type="dcterms:W3CDTF">2024-09-20T05:50:00Z</dcterms:modified>
</cp:coreProperties>
</file>