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6320C" w14:textId="77777777" w:rsidR="00015A67" w:rsidRDefault="00F6527F">
      <w:pPr>
        <w:snapToGrid w:val="0"/>
        <w:spacing w:line="340" w:lineRule="exact"/>
        <w:jc w:val="center"/>
      </w:pPr>
      <w:r>
        <w:rPr>
          <w:rFonts w:eastAsia="標楷體"/>
          <w:color w:val="000000"/>
          <w:spacing w:val="-4"/>
          <w:sz w:val="28"/>
          <w:szCs w:val="28"/>
        </w:rPr>
        <w:t>統計資料背景說明</w:t>
      </w:r>
    </w:p>
    <w:p w14:paraId="787ACC86" w14:textId="77777777" w:rsidR="00015A67" w:rsidRDefault="00015A67">
      <w:pPr>
        <w:snapToGrid w:val="0"/>
        <w:spacing w:after="120" w:line="320" w:lineRule="exact"/>
        <w:jc w:val="center"/>
        <w:rPr>
          <w:rFonts w:eastAsia="標楷體"/>
          <w:color w:val="000000"/>
          <w:sz w:val="28"/>
          <w:szCs w:val="28"/>
        </w:rPr>
      </w:pPr>
    </w:p>
    <w:p w14:paraId="1A052C8A" w14:textId="77777777" w:rsidR="00015A67" w:rsidRDefault="00F6527F">
      <w:pPr>
        <w:snapToGrid w:val="0"/>
        <w:spacing w:after="120" w:line="340" w:lineRule="exact"/>
        <w:rPr>
          <w:rFonts w:eastAsia="標楷體"/>
          <w:spacing w:val="-4"/>
          <w:szCs w:val="24"/>
        </w:rPr>
      </w:pPr>
      <w:r>
        <w:rPr>
          <w:rFonts w:eastAsia="標楷體"/>
          <w:spacing w:val="-4"/>
          <w:szCs w:val="24"/>
        </w:rPr>
        <w:t>資料種類：未分類其他經濟統計</w:t>
      </w:r>
    </w:p>
    <w:p w14:paraId="538A6759" w14:textId="77777777" w:rsidR="00015A67" w:rsidRDefault="00F6527F">
      <w:pPr>
        <w:snapToGrid w:val="0"/>
        <w:spacing w:after="120" w:line="340" w:lineRule="exact"/>
        <w:rPr>
          <w:rFonts w:eastAsia="標楷體"/>
          <w:color w:val="000000"/>
          <w:spacing w:val="-4"/>
          <w:szCs w:val="24"/>
        </w:rPr>
      </w:pPr>
      <w:r>
        <w:rPr>
          <w:rFonts w:eastAsia="標楷體"/>
          <w:color w:val="000000"/>
          <w:spacing w:val="-4"/>
          <w:szCs w:val="24"/>
        </w:rPr>
        <w:t>資料項目：桃園市政府採購爭議案件收辦情形</w:t>
      </w:r>
    </w:p>
    <w:p w14:paraId="7FABAA87" w14:textId="77777777" w:rsidR="00015A67" w:rsidRDefault="00F6527F">
      <w:pPr>
        <w:snapToGrid w:val="0"/>
        <w:spacing w:line="320" w:lineRule="exact"/>
        <w:jc w:val="both"/>
        <w:rPr>
          <w:rFonts w:eastAsia="標楷體"/>
          <w:szCs w:val="24"/>
        </w:rPr>
      </w:pPr>
      <w:r>
        <w:rPr>
          <w:rFonts w:eastAsia="標楷體"/>
          <w:szCs w:val="24"/>
        </w:rPr>
        <w:t>一、發布及編製機關單位</w:t>
      </w:r>
    </w:p>
    <w:p w14:paraId="77B9FE24" w14:textId="56FE1C0F" w:rsidR="00015A67" w:rsidRDefault="00F6527F">
      <w:pPr>
        <w:snapToGrid w:val="0"/>
        <w:spacing w:line="320" w:lineRule="exact"/>
        <w:ind w:left="720" w:hanging="426"/>
        <w:jc w:val="both"/>
        <w:rPr>
          <w:rFonts w:eastAsia="標楷體"/>
          <w:spacing w:val="-4"/>
          <w:szCs w:val="24"/>
        </w:rPr>
      </w:pPr>
      <w:r>
        <w:rPr>
          <w:rFonts w:eastAsia="標楷體"/>
          <w:spacing w:val="-4"/>
          <w:szCs w:val="24"/>
        </w:rPr>
        <w:t>＊發布機關、單位：桃園市政府法務局會計</w:t>
      </w:r>
      <w:r w:rsidR="008A55A4">
        <w:rPr>
          <w:rFonts w:eastAsia="標楷體" w:hint="eastAsia"/>
          <w:spacing w:val="-4"/>
          <w:szCs w:val="24"/>
        </w:rPr>
        <w:t>單位</w:t>
      </w:r>
    </w:p>
    <w:p w14:paraId="3557AA15" w14:textId="77777777" w:rsidR="00015A67" w:rsidRDefault="00F6527F">
      <w:pPr>
        <w:snapToGrid w:val="0"/>
        <w:spacing w:line="320" w:lineRule="exact"/>
        <w:ind w:left="720" w:hanging="426"/>
        <w:jc w:val="both"/>
      </w:pPr>
      <w:r>
        <w:rPr>
          <w:rFonts w:eastAsia="標楷體"/>
          <w:szCs w:val="24"/>
        </w:rPr>
        <w:t>＊編製單位：</w:t>
      </w:r>
      <w:r>
        <w:rPr>
          <w:rFonts w:eastAsia="標楷體"/>
          <w:spacing w:val="-4"/>
          <w:szCs w:val="24"/>
        </w:rPr>
        <w:t>桃園市政府法務局</w:t>
      </w:r>
      <w:r>
        <w:rPr>
          <w:rFonts w:eastAsia="標楷體"/>
          <w:szCs w:val="24"/>
        </w:rPr>
        <w:t>採購申訴審議科</w:t>
      </w:r>
    </w:p>
    <w:p w14:paraId="7F24BCF8" w14:textId="77777777" w:rsidR="00015A67" w:rsidRDefault="00F6527F">
      <w:pPr>
        <w:snapToGrid w:val="0"/>
        <w:spacing w:line="320" w:lineRule="exact"/>
        <w:ind w:left="720" w:hanging="426"/>
        <w:jc w:val="both"/>
        <w:rPr>
          <w:rFonts w:eastAsia="標楷體"/>
          <w:szCs w:val="24"/>
        </w:rPr>
      </w:pPr>
      <w:r>
        <w:rPr>
          <w:rFonts w:eastAsia="標楷體"/>
          <w:szCs w:val="24"/>
        </w:rPr>
        <w:t>＊聯絡電話：</w:t>
      </w:r>
      <w:r>
        <w:rPr>
          <w:rFonts w:eastAsia="標楷體"/>
          <w:szCs w:val="24"/>
        </w:rPr>
        <w:t>(03)3322101*5701</w:t>
      </w:r>
    </w:p>
    <w:p w14:paraId="3F727207" w14:textId="77777777" w:rsidR="00015A67" w:rsidRDefault="00F6527F">
      <w:pPr>
        <w:snapToGrid w:val="0"/>
        <w:spacing w:line="320" w:lineRule="exact"/>
        <w:ind w:left="720" w:hanging="426"/>
        <w:jc w:val="both"/>
        <w:rPr>
          <w:rFonts w:eastAsia="標楷體"/>
          <w:color w:val="000000"/>
          <w:szCs w:val="24"/>
        </w:rPr>
      </w:pPr>
      <w:r>
        <w:rPr>
          <w:rFonts w:eastAsia="標楷體"/>
          <w:color w:val="000000"/>
          <w:szCs w:val="24"/>
        </w:rPr>
        <w:t>＊傳真：</w:t>
      </w:r>
      <w:r>
        <w:rPr>
          <w:rFonts w:eastAsia="標楷體"/>
          <w:color w:val="000000"/>
          <w:szCs w:val="24"/>
        </w:rPr>
        <w:t>(03)3366905</w:t>
      </w:r>
    </w:p>
    <w:p w14:paraId="248D3ACE" w14:textId="77777777" w:rsidR="00015A67" w:rsidRDefault="00F6527F">
      <w:pPr>
        <w:snapToGrid w:val="0"/>
        <w:spacing w:after="120" w:line="320" w:lineRule="exact"/>
        <w:ind w:left="720" w:hanging="425"/>
        <w:jc w:val="both"/>
        <w:rPr>
          <w:rFonts w:eastAsia="標楷體"/>
          <w:color w:val="000000"/>
          <w:szCs w:val="24"/>
        </w:rPr>
      </w:pPr>
      <w:r>
        <w:rPr>
          <w:rFonts w:eastAsia="標楷體"/>
          <w:color w:val="000000"/>
          <w:szCs w:val="24"/>
        </w:rPr>
        <w:t>＊電子信箱：</w:t>
      </w:r>
      <w:r>
        <w:rPr>
          <w:rFonts w:eastAsia="標楷體"/>
          <w:color w:val="000000"/>
          <w:szCs w:val="24"/>
        </w:rPr>
        <w:t>10021761@mail.tycg.gov.tw</w:t>
      </w:r>
    </w:p>
    <w:p w14:paraId="5915B685" w14:textId="77777777" w:rsidR="00015A67" w:rsidRDefault="00F6527F">
      <w:pPr>
        <w:snapToGrid w:val="0"/>
        <w:spacing w:line="340" w:lineRule="exact"/>
        <w:jc w:val="both"/>
        <w:rPr>
          <w:rFonts w:eastAsia="標楷體"/>
          <w:color w:val="000000"/>
          <w:szCs w:val="24"/>
        </w:rPr>
      </w:pPr>
      <w:r>
        <w:rPr>
          <w:rFonts w:eastAsia="標楷體"/>
          <w:color w:val="000000"/>
          <w:szCs w:val="24"/>
        </w:rPr>
        <w:t>二、發布形式</w:t>
      </w:r>
    </w:p>
    <w:p w14:paraId="3107E34F" w14:textId="77777777" w:rsidR="00015A67" w:rsidRDefault="00F6527F">
      <w:pPr>
        <w:snapToGrid w:val="0"/>
        <w:spacing w:line="340" w:lineRule="exact"/>
        <w:ind w:left="294"/>
        <w:jc w:val="both"/>
      </w:pPr>
      <w:r>
        <w:rPr>
          <w:rFonts w:eastAsia="標楷體"/>
          <w:color w:val="000000"/>
          <w:spacing w:val="-4"/>
          <w:szCs w:val="24"/>
        </w:rPr>
        <w:t>＊</w:t>
      </w:r>
      <w:r>
        <w:rPr>
          <w:rFonts w:eastAsia="標楷體"/>
          <w:color w:val="000000"/>
          <w:szCs w:val="24"/>
        </w:rPr>
        <w:t>口頭：</w:t>
      </w:r>
    </w:p>
    <w:p w14:paraId="16A8231F" w14:textId="77777777" w:rsidR="00015A67" w:rsidRDefault="00F6527F">
      <w:pPr>
        <w:snapToGrid w:val="0"/>
        <w:spacing w:line="340" w:lineRule="exact"/>
        <w:jc w:val="both"/>
        <w:rPr>
          <w:rFonts w:eastAsia="標楷體"/>
          <w:color w:val="000000"/>
          <w:szCs w:val="24"/>
        </w:rPr>
      </w:pPr>
      <w:r>
        <w:rPr>
          <w:rFonts w:eastAsia="標楷體"/>
          <w:color w:val="000000"/>
          <w:szCs w:val="24"/>
        </w:rPr>
        <w:t xml:space="preserve">     </w:t>
      </w:r>
      <w:r>
        <w:rPr>
          <w:rFonts w:eastAsia="標楷體"/>
          <w:color w:val="000000"/>
          <w:szCs w:val="24"/>
        </w:rPr>
        <w:t>（</w:t>
      </w:r>
      <w:r>
        <w:rPr>
          <w:rFonts w:eastAsia="標楷體"/>
          <w:color w:val="000000"/>
          <w:szCs w:val="24"/>
        </w:rPr>
        <w:t xml:space="preserve">  </w:t>
      </w:r>
      <w:r>
        <w:rPr>
          <w:rFonts w:eastAsia="標楷體"/>
          <w:color w:val="000000"/>
          <w:szCs w:val="24"/>
        </w:rPr>
        <w:t>）記者會或說明會</w:t>
      </w:r>
    </w:p>
    <w:p w14:paraId="4B58126F" w14:textId="77777777" w:rsidR="00015A67" w:rsidRDefault="00F6527F">
      <w:pPr>
        <w:snapToGrid w:val="0"/>
        <w:spacing w:line="340" w:lineRule="exact"/>
        <w:ind w:left="294"/>
        <w:jc w:val="both"/>
      </w:pPr>
      <w:r>
        <w:rPr>
          <w:rFonts w:eastAsia="標楷體"/>
          <w:color w:val="000000"/>
          <w:spacing w:val="-4"/>
          <w:szCs w:val="24"/>
        </w:rPr>
        <w:t>＊</w:t>
      </w:r>
      <w:r>
        <w:rPr>
          <w:rFonts w:eastAsia="標楷體"/>
          <w:color w:val="000000"/>
          <w:szCs w:val="24"/>
        </w:rPr>
        <w:t>書面：</w:t>
      </w:r>
    </w:p>
    <w:p w14:paraId="0CC812AE" w14:textId="77777777" w:rsidR="00015A67" w:rsidRDefault="00F6527F">
      <w:pPr>
        <w:snapToGrid w:val="0"/>
        <w:spacing w:line="340" w:lineRule="exact"/>
        <w:ind w:left="294"/>
        <w:jc w:val="both"/>
        <w:rPr>
          <w:rFonts w:eastAsia="標楷體"/>
          <w:color w:val="000000"/>
          <w:szCs w:val="24"/>
        </w:rPr>
      </w:pPr>
      <w:r>
        <w:rPr>
          <w:rFonts w:eastAsia="標楷體"/>
          <w:color w:val="000000"/>
          <w:szCs w:val="24"/>
        </w:rPr>
        <w:t xml:space="preserve">   </w:t>
      </w:r>
      <w:r>
        <w:rPr>
          <w:rFonts w:eastAsia="標楷體"/>
          <w:color w:val="000000"/>
          <w:szCs w:val="24"/>
        </w:rPr>
        <w:t>（</w:t>
      </w:r>
      <w:r>
        <w:rPr>
          <w:rFonts w:eastAsia="標楷體"/>
          <w:color w:val="000000"/>
          <w:szCs w:val="24"/>
        </w:rPr>
        <w:t xml:space="preserve">  </w:t>
      </w:r>
      <w:r>
        <w:rPr>
          <w:rFonts w:eastAsia="標楷體"/>
          <w:color w:val="000000"/>
          <w:szCs w:val="24"/>
        </w:rPr>
        <w:t>）新聞稿</w:t>
      </w:r>
      <w:r>
        <w:rPr>
          <w:rFonts w:eastAsia="標楷體"/>
          <w:color w:val="000000"/>
          <w:szCs w:val="24"/>
        </w:rPr>
        <w:t xml:space="preserve"> </w:t>
      </w:r>
      <w:r>
        <w:rPr>
          <w:rFonts w:eastAsia="標楷體"/>
          <w:color w:val="000000"/>
          <w:szCs w:val="24"/>
        </w:rPr>
        <w:t>（　）報表</w:t>
      </w:r>
      <w:r>
        <w:rPr>
          <w:rFonts w:eastAsia="標楷體"/>
          <w:color w:val="000000"/>
          <w:szCs w:val="24"/>
        </w:rPr>
        <w:t xml:space="preserve"> </w:t>
      </w:r>
      <w:r>
        <w:rPr>
          <w:rFonts w:eastAsia="標楷體"/>
          <w:color w:val="000000"/>
          <w:szCs w:val="24"/>
        </w:rPr>
        <w:t>（</w:t>
      </w:r>
      <w:r>
        <w:rPr>
          <w:rFonts w:eastAsia="標楷體"/>
          <w:color w:val="000000"/>
          <w:szCs w:val="24"/>
        </w:rPr>
        <w:t xml:space="preserve">  </w:t>
      </w:r>
      <w:r>
        <w:rPr>
          <w:rFonts w:eastAsia="標楷體"/>
          <w:color w:val="000000"/>
          <w:szCs w:val="24"/>
        </w:rPr>
        <w:t>）書刊，刊名：</w:t>
      </w:r>
    </w:p>
    <w:p w14:paraId="72815554" w14:textId="77777777" w:rsidR="00015A67" w:rsidRDefault="00F6527F">
      <w:pPr>
        <w:snapToGrid w:val="0"/>
        <w:spacing w:line="340" w:lineRule="exact"/>
        <w:ind w:left="294"/>
        <w:jc w:val="both"/>
      </w:pPr>
      <w:r>
        <w:rPr>
          <w:rFonts w:eastAsia="標楷體"/>
          <w:color w:val="000000"/>
          <w:spacing w:val="-4"/>
          <w:szCs w:val="24"/>
        </w:rPr>
        <w:t>＊</w:t>
      </w:r>
      <w:r>
        <w:rPr>
          <w:rFonts w:eastAsia="標楷體"/>
          <w:color w:val="000000"/>
          <w:szCs w:val="24"/>
        </w:rPr>
        <w:t>電子媒體：</w:t>
      </w:r>
    </w:p>
    <w:p w14:paraId="66B37997" w14:textId="77777777" w:rsidR="00015A67" w:rsidRDefault="00F6527F">
      <w:pPr>
        <w:snapToGrid w:val="0"/>
        <w:spacing w:line="340" w:lineRule="exact"/>
        <w:ind w:left="966" w:right="-328" w:hanging="294"/>
        <w:jc w:val="both"/>
        <w:rPr>
          <w:rFonts w:eastAsia="標楷體"/>
          <w:color w:val="000000"/>
          <w:szCs w:val="24"/>
        </w:rPr>
      </w:pPr>
      <w:r>
        <w:rPr>
          <w:rFonts w:eastAsia="標楷體"/>
          <w:color w:val="000000"/>
          <w:szCs w:val="24"/>
        </w:rPr>
        <w:t>（</w:t>
      </w:r>
      <w:r>
        <w:rPr>
          <w:rFonts w:eastAsia="標楷體"/>
          <w:color w:val="000000"/>
          <w:szCs w:val="24"/>
        </w:rPr>
        <w:t xml:space="preserve">  </w:t>
      </w:r>
      <w:r>
        <w:rPr>
          <w:rFonts w:eastAsia="標楷體"/>
          <w:color w:val="000000"/>
          <w:szCs w:val="24"/>
        </w:rPr>
        <w:t>）線上書刊及資料庫，網址：</w:t>
      </w:r>
    </w:p>
    <w:p w14:paraId="0E4C7C49" w14:textId="77777777" w:rsidR="00015A67" w:rsidRDefault="00F6527F">
      <w:pPr>
        <w:snapToGrid w:val="0"/>
        <w:spacing w:line="340" w:lineRule="exact"/>
        <w:ind w:left="970" w:right="-329" w:hanging="295"/>
        <w:jc w:val="both"/>
      </w:pPr>
      <w:r>
        <w:rPr>
          <w:rFonts w:eastAsia="標楷體"/>
          <w:color w:val="000000"/>
          <w:szCs w:val="24"/>
        </w:rPr>
        <w:t>（</w:t>
      </w:r>
      <w:r>
        <w:rPr>
          <w:rFonts w:eastAsia="標楷體"/>
          <w:color w:val="000000"/>
          <w:szCs w:val="24"/>
        </w:rPr>
        <w:t xml:space="preserve">  </w:t>
      </w:r>
      <w:r>
        <w:rPr>
          <w:rFonts w:eastAsia="標楷體"/>
          <w:color w:val="000000"/>
          <w:szCs w:val="24"/>
        </w:rPr>
        <w:t>）磁片</w:t>
      </w:r>
      <w:r>
        <w:rPr>
          <w:rFonts w:eastAsia="標楷體"/>
          <w:color w:val="000000"/>
          <w:szCs w:val="24"/>
        </w:rPr>
        <w:t xml:space="preserve">   </w:t>
      </w:r>
      <w:r>
        <w:rPr>
          <w:rFonts w:eastAsia="標楷體"/>
          <w:color w:val="000000"/>
          <w:szCs w:val="24"/>
        </w:rPr>
        <w:t>（</w:t>
      </w:r>
      <w:r>
        <w:rPr>
          <w:rFonts w:eastAsia="標楷體"/>
          <w:color w:val="000000"/>
          <w:szCs w:val="24"/>
        </w:rPr>
        <w:t xml:space="preserve">  </w:t>
      </w:r>
      <w:r>
        <w:rPr>
          <w:rFonts w:eastAsia="標楷體"/>
          <w:color w:val="000000"/>
          <w:szCs w:val="24"/>
        </w:rPr>
        <w:t>）光碟片</w:t>
      </w:r>
      <w:r>
        <w:rPr>
          <w:rFonts w:eastAsia="標楷體"/>
          <w:color w:val="000000"/>
          <w:szCs w:val="24"/>
        </w:rPr>
        <w:t xml:space="preserve">  </w:t>
      </w:r>
      <w:r>
        <w:rPr>
          <w:rFonts w:eastAsia="標楷體"/>
          <w:color w:val="000000"/>
          <w:szCs w:val="24"/>
        </w:rPr>
        <w:t>（</w:t>
      </w:r>
      <w:r>
        <w:rPr>
          <w:rFonts w:ascii="Wingdings" w:eastAsia="Wingdings" w:hAnsi="Wingdings" w:cs="Wingdings"/>
          <w:color w:val="000000"/>
          <w:szCs w:val="24"/>
        </w:rPr>
        <w:t></w:t>
      </w:r>
      <w:r>
        <w:rPr>
          <w:rFonts w:eastAsia="標楷體"/>
          <w:color w:val="000000"/>
          <w:szCs w:val="24"/>
        </w:rPr>
        <w:t>）其他</w:t>
      </w:r>
    </w:p>
    <w:p w14:paraId="2748BB9C" w14:textId="77777777" w:rsidR="00015A67" w:rsidRDefault="00F6527F">
      <w:pPr>
        <w:snapToGrid w:val="0"/>
        <w:spacing w:after="120" w:line="340" w:lineRule="exact"/>
        <w:ind w:left="970" w:right="-329" w:hanging="295"/>
        <w:jc w:val="both"/>
      </w:pPr>
      <w:r>
        <w:rPr>
          <w:rFonts w:eastAsia="標楷體"/>
          <w:color w:val="000000"/>
          <w:szCs w:val="24"/>
        </w:rPr>
        <w:t>Open Document File (odf)</w:t>
      </w:r>
      <w:r>
        <w:rPr>
          <w:rFonts w:ascii="標楷體" w:eastAsia="標楷體" w:hAnsi="標楷體"/>
          <w:color w:val="000000"/>
          <w:szCs w:val="24"/>
        </w:rPr>
        <w:t>、</w:t>
      </w:r>
      <w:r>
        <w:rPr>
          <w:rFonts w:eastAsia="標楷體"/>
          <w:color w:val="000000"/>
          <w:szCs w:val="24"/>
        </w:rPr>
        <w:t xml:space="preserve">Portable Document Format (pdf) </w:t>
      </w:r>
      <w:r>
        <w:rPr>
          <w:rFonts w:eastAsia="標楷體"/>
          <w:color w:val="000000"/>
          <w:szCs w:val="24"/>
        </w:rPr>
        <w:t>或</w:t>
      </w:r>
      <w:r>
        <w:rPr>
          <w:rFonts w:eastAsia="標楷體"/>
          <w:color w:val="000000"/>
          <w:szCs w:val="24"/>
        </w:rPr>
        <w:t xml:space="preserve"> Excel</w:t>
      </w:r>
      <w:r>
        <w:rPr>
          <w:rFonts w:eastAsia="標楷體"/>
          <w:color w:val="000000"/>
          <w:szCs w:val="24"/>
        </w:rPr>
        <w:t>檔案</w:t>
      </w:r>
      <w:r>
        <w:rPr>
          <w:rFonts w:ascii="標楷體" w:eastAsia="標楷體" w:hAnsi="標楷體"/>
          <w:color w:val="000000"/>
          <w:szCs w:val="24"/>
        </w:rPr>
        <w:t>。</w:t>
      </w:r>
    </w:p>
    <w:p w14:paraId="2C522744" w14:textId="77777777" w:rsidR="00015A67" w:rsidRDefault="00F6527F">
      <w:pPr>
        <w:snapToGrid w:val="0"/>
        <w:spacing w:line="320" w:lineRule="exact"/>
        <w:jc w:val="both"/>
        <w:rPr>
          <w:rFonts w:eastAsia="標楷體"/>
          <w:color w:val="000000"/>
          <w:szCs w:val="24"/>
        </w:rPr>
      </w:pPr>
      <w:r>
        <w:rPr>
          <w:rFonts w:eastAsia="標楷體"/>
          <w:color w:val="000000"/>
          <w:szCs w:val="24"/>
        </w:rPr>
        <w:t>三、資料範圍、週期及時效</w:t>
      </w:r>
    </w:p>
    <w:p w14:paraId="66B91C24" w14:textId="77777777" w:rsidR="00015A67" w:rsidRDefault="00F6527F">
      <w:pPr>
        <w:snapToGrid w:val="0"/>
        <w:spacing w:line="340" w:lineRule="exact"/>
        <w:ind w:left="2966" w:hanging="2683"/>
        <w:jc w:val="both"/>
      </w:pPr>
      <w:r>
        <w:rPr>
          <w:rFonts w:eastAsia="標楷體"/>
          <w:color w:val="000000"/>
          <w:spacing w:val="-4"/>
          <w:szCs w:val="24"/>
        </w:rPr>
        <w:t>＊</w:t>
      </w:r>
      <w:r>
        <w:rPr>
          <w:rFonts w:eastAsia="標楷體"/>
          <w:color w:val="000000"/>
          <w:szCs w:val="24"/>
        </w:rPr>
        <w:t>統計地區範圍及對象：以桃園市政府所屬各機關、公立學校、公營事業及桃園市復興區公所為其中一造當事人所提起之採購申訴及履約爭議調解案件為統計對象。</w:t>
      </w:r>
    </w:p>
    <w:p w14:paraId="66797302" w14:textId="77777777" w:rsidR="00015A67" w:rsidRDefault="00F6527F">
      <w:pPr>
        <w:snapToGrid w:val="0"/>
        <w:spacing w:line="340" w:lineRule="exact"/>
        <w:ind w:left="556" w:hanging="278"/>
        <w:jc w:val="both"/>
        <w:rPr>
          <w:rFonts w:eastAsia="標楷體"/>
          <w:color w:val="000000"/>
          <w:szCs w:val="24"/>
        </w:rPr>
      </w:pPr>
      <w:r>
        <w:rPr>
          <w:rFonts w:eastAsia="標楷體"/>
          <w:color w:val="000000"/>
          <w:szCs w:val="24"/>
        </w:rPr>
        <w:t>＊統計標準時間：上半年以</w:t>
      </w:r>
      <w:r>
        <w:rPr>
          <w:rFonts w:eastAsia="標楷體"/>
          <w:color w:val="000000"/>
          <w:szCs w:val="24"/>
        </w:rPr>
        <w:t>1</w:t>
      </w:r>
      <w:r>
        <w:rPr>
          <w:rFonts w:eastAsia="標楷體"/>
          <w:color w:val="000000"/>
          <w:szCs w:val="24"/>
        </w:rPr>
        <w:t>月</w:t>
      </w:r>
      <w:r>
        <w:rPr>
          <w:rFonts w:eastAsia="標楷體"/>
          <w:color w:val="000000"/>
          <w:szCs w:val="24"/>
        </w:rPr>
        <w:t>1</w:t>
      </w:r>
      <w:r>
        <w:rPr>
          <w:rFonts w:eastAsia="標楷體"/>
          <w:color w:val="000000"/>
          <w:szCs w:val="24"/>
        </w:rPr>
        <w:t>日至</w:t>
      </w:r>
      <w:r>
        <w:rPr>
          <w:rFonts w:eastAsia="標楷體"/>
          <w:color w:val="000000"/>
          <w:szCs w:val="24"/>
        </w:rPr>
        <w:t>6</w:t>
      </w:r>
      <w:r>
        <w:rPr>
          <w:rFonts w:eastAsia="標楷體"/>
          <w:color w:val="000000"/>
          <w:szCs w:val="24"/>
        </w:rPr>
        <w:t>月底、下半年以</w:t>
      </w:r>
      <w:r>
        <w:rPr>
          <w:rFonts w:eastAsia="標楷體"/>
          <w:color w:val="000000"/>
          <w:szCs w:val="24"/>
        </w:rPr>
        <w:t>7</w:t>
      </w:r>
      <w:r>
        <w:rPr>
          <w:rFonts w:eastAsia="標楷體"/>
          <w:color w:val="000000"/>
          <w:szCs w:val="24"/>
        </w:rPr>
        <w:t>月</w:t>
      </w:r>
      <w:r>
        <w:rPr>
          <w:rFonts w:eastAsia="標楷體"/>
          <w:color w:val="000000"/>
          <w:szCs w:val="24"/>
        </w:rPr>
        <w:t>1</w:t>
      </w:r>
      <w:r>
        <w:rPr>
          <w:rFonts w:eastAsia="標楷體"/>
          <w:color w:val="000000"/>
          <w:szCs w:val="24"/>
        </w:rPr>
        <w:t>日至</w:t>
      </w:r>
      <w:r>
        <w:rPr>
          <w:rFonts w:eastAsia="標楷體"/>
          <w:color w:val="000000"/>
          <w:szCs w:val="24"/>
        </w:rPr>
        <w:t>12</w:t>
      </w:r>
      <w:r>
        <w:rPr>
          <w:rFonts w:eastAsia="標楷體"/>
          <w:color w:val="000000"/>
          <w:szCs w:val="24"/>
        </w:rPr>
        <w:t>月底之事實為準。</w:t>
      </w:r>
    </w:p>
    <w:p w14:paraId="5C3DFD13" w14:textId="77777777" w:rsidR="00015A67" w:rsidRDefault="00F6527F">
      <w:pPr>
        <w:snapToGrid w:val="0"/>
        <w:spacing w:line="340" w:lineRule="exact"/>
        <w:ind w:left="294"/>
        <w:jc w:val="both"/>
      </w:pPr>
      <w:r>
        <w:rPr>
          <w:rFonts w:eastAsia="標楷體"/>
          <w:color w:val="000000"/>
          <w:spacing w:val="-4"/>
          <w:szCs w:val="24"/>
        </w:rPr>
        <w:t>＊</w:t>
      </w:r>
      <w:r>
        <w:rPr>
          <w:rFonts w:eastAsia="標楷體"/>
          <w:color w:val="000000"/>
          <w:szCs w:val="24"/>
        </w:rPr>
        <w:t>統計項目定義：</w:t>
      </w:r>
    </w:p>
    <w:p w14:paraId="5122AA94" w14:textId="77777777" w:rsidR="00015A67" w:rsidRDefault="00F6527F">
      <w:pPr>
        <w:numPr>
          <w:ilvl w:val="0"/>
          <w:numId w:val="1"/>
        </w:numPr>
        <w:snapToGrid w:val="0"/>
        <w:spacing w:line="340" w:lineRule="exact"/>
        <w:ind w:left="1134"/>
        <w:jc w:val="both"/>
        <w:rPr>
          <w:rFonts w:eastAsia="標楷體"/>
          <w:color w:val="000000"/>
          <w:szCs w:val="24"/>
        </w:rPr>
      </w:pPr>
      <w:r>
        <w:rPr>
          <w:rFonts w:eastAsia="標楷體"/>
          <w:color w:val="000000"/>
          <w:szCs w:val="24"/>
        </w:rPr>
        <w:t>前期未結案：到上個統計期末，仍未結案者。</w:t>
      </w:r>
    </w:p>
    <w:p w14:paraId="39F6C017" w14:textId="77777777" w:rsidR="00015A67" w:rsidRDefault="00F6527F">
      <w:pPr>
        <w:numPr>
          <w:ilvl w:val="0"/>
          <w:numId w:val="1"/>
        </w:numPr>
        <w:snapToGrid w:val="0"/>
        <w:spacing w:line="340" w:lineRule="exact"/>
        <w:ind w:left="1134"/>
        <w:jc w:val="both"/>
        <w:rPr>
          <w:rFonts w:eastAsia="標楷體"/>
          <w:color w:val="000000"/>
          <w:szCs w:val="24"/>
        </w:rPr>
      </w:pPr>
      <w:r>
        <w:rPr>
          <w:rFonts w:eastAsia="標楷體"/>
          <w:color w:val="000000"/>
          <w:szCs w:val="24"/>
        </w:rPr>
        <w:t>本期新受理：本期新受理案件。</w:t>
      </w:r>
    </w:p>
    <w:p w14:paraId="4A340168" w14:textId="77777777" w:rsidR="00015A67" w:rsidRDefault="00F6527F">
      <w:pPr>
        <w:numPr>
          <w:ilvl w:val="0"/>
          <w:numId w:val="1"/>
        </w:numPr>
        <w:snapToGrid w:val="0"/>
        <w:spacing w:line="340" w:lineRule="exact"/>
        <w:ind w:left="1134"/>
        <w:jc w:val="both"/>
        <w:rPr>
          <w:rFonts w:eastAsia="標楷體"/>
          <w:color w:val="000000"/>
          <w:szCs w:val="24"/>
        </w:rPr>
      </w:pPr>
      <w:r>
        <w:rPr>
          <w:rFonts w:eastAsia="標楷體"/>
          <w:color w:val="000000"/>
          <w:szCs w:val="24"/>
        </w:rPr>
        <w:t>本期已結案：本期已結案件。</w:t>
      </w:r>
    </w:p>
    <w:p w14:paraId="4826BE75" w14:textId="77777777" w:rsidR="00015A67" w:rsidRDefault="00F6527F">
      <w:pPr>
        <w:numPr>
          <w:ilvl w:val="0"/>
          <w:numId w:val="1"/>
        </w:numPr>
        <w:snapToGrid w:val="0"/>
        <w:spacing w:line="340" w:lineRule="exact"/>
        <w:ind w:left="1134"/>
        <w:jc w:val="both"/>
        <w:rPr>
          <w:rFonts w:eastAsia="標楷體"/>
          <w:color w:val="000000"/>
          <w:szCs w:val="24"/>
        </w:rPr>
      </w:pPr>
      <w:r>
        <w:rPr>
          <w:rFonts w:eastAsia="標楷體"/>
          <w:color w:val="000000"/>
          <w:szCs w:val="24"/>
        </w:rPr>
        <w:t>本期未結案：至本期統計期末，仍未結案者。</w:t>
      </w:r>
    </w:p>
    <w:p w14:paraId="116579E1" w14:textId="77777777" w:rsidR="00015A67" w:rsidRDefault="00F6527F">
      <w:pPr>
        <w:numPr>
          <w:ilvl w:val="0"/>
          <w:numId w:val="1"/>
        </w:numPr>
        <w:snapToGrid w:val="0"/>
        <w:spacing w:line="340" w:lineRule="exact"/>
        <w:ind w:left="1134"/>
        <w:jc w:val="both"/>
        <w:rPr>
          <w:rFonts w:eastAsia="標楷體"/>
          <w:color w:val="000000"/>
          <w:szCs w:val="24"/>
        </w:rPr>
      </w:pPr>
      <w:r>
        <w:rPr>
          <w:rFonts w:eastAsia="標楷體"/>
          <w:color w:val="000000"/>
          <w:szCs w:val="24"/>
        </w:rPr>
        <w:t>爭議途徑類型：</w:t>
      </w:r>
    </w:p>
    <w:p w14:paraId="7D016B60" w14:textId="77777777" w:rsidR="00015A67" w:rsidRDefault="00F6527F">
      <w:pPr>
        <w:snapToGrid w:val="0"/>
        <w:spacing w:line="340" w:lineRule="exact"/>
        <w:ind w:left="1992" w:hanging="912"/>
        <w:jc w:val="both"/>
        <w:rPr>
          <w:rFonts w:eastAsia="標楷體"/>
          <w:color w:val="000000"/>
          <w:szCs w:val="24"/>
        </w:rPr>
      </w:pPr>
      <w:r>
        <w:rPr>
          <w:rFonts w:eastAsia="標楷體"/>
          <w:color w:val="000000"/>
          <w:szCs w:val="24"/>
        </w:rPr>
        <w:t>1.</w:t>
      </w:r>
      <w:r>
        <w:rPr>
          <w:rFonts w:eastAsia="標楷體"/>
          <w:color w:val="000000"/>
          <w:szCs w:val="24"/>
        </w:rPr>
        <w:t>申訴：依政府採購法第</w:t>
      </w:r>
      <w:r>
        <w:rPr>
          <w:rFonts w:eastAsia="標楷體"/>
          <w:color w:val="000000"/>
          <w:szCs w:val="24"/>
        </w:rPr>
        <w:t>76</w:t>
      </w:r>
      <w:r>
        <w:rPr>
          <w:rFonts w:eastAsia="標楷體"/>
          <w:color w:val="000000"/>
          <w:szCs w:val="24"/>
        </w:rPr>
        <w:t>條、第</w:t>
      </w:r>
      <w:r>
        <w:rPr>
          <w:rFonts w:eastAsia="標楷體"/>
          <w:color w:val="000000"/>
          <w:szCs w:val="24"/>
        </w:rPr>
        <w:t>85</w:t>
      </w:r>
      <w:r>
        <w:rPr>
          <w:rFonts w:eastAsia="標楷體"/>
          <w:color w:val="000000"/>
          <w:szCs w:val="24"/>
        </w:rPr>
        <w:t>條及第</w:t>
      </w:r>
      <w:r>
        <w:rPr>
          <w:rFonts w:eastAsia="標楷體"/>
          <w:color w:val="000000"/>
          <w:szCs w:val="24"/>
        </w:rPr>
        <w:t>102</w:t>
      </w:r>
      <w:r>
        <w:rPr>
          <w:rFonts w:eastAsia="標楷體"/>
          <w:color w:val="000000"/>
          <w:szCs w:val="24"/>
        </w:rPr>
        <w:t>條規定向桃園市政府採購申訴審議委員會提起之案件。</w:t>
      </w:r>
    </w:p>
    <w:p w14:paraId="3A813C62" w14:textId="77777777" w:rsidR="00015A67" w:rsidRDefault="00F6527F">
      <w:pPr>
        <w:snapToGrid w:val="0"/>
        <w:spacing w:line="340" w:lineRule="exact"/>
        <w:ind w:left="1992" w:hanging="912"/>
        <w:jc w:val="both"/>
        <w:rPr>
          <w:rFonts w:eastAsia="標楷體"/>
          <w:color w:val="000000"/>
          <w:szCs w:val="24"/>
        </w:rPr>
      </w:pPr>
      <w:r>
        <w:rPr>
          <w:rFonts w:eastAsia="標楷體"/>
          <w:color w:val="000000"/>
          <w:szCs w:val="24"/>
        </w:rPr>
        <w:t>2.</w:t>
      </w:r>
      <w:r>
        <w:rPr>
          <w:rFonts w:eastAsia="標楷體"/>
          <w:color w:val="000000"/>
          <w:szCs w:val="24"/>
        </w:rPr>
        <w:t>調解：依政府採購法第</w:t>
      </w:r>
      <w:r>
        <w:rPr>
          <w:rFonts w:eastAsia="標楷體"/>
          <w:color w:val="000000"/>
          <w:szCs w:val="24"/>
        </w:rPr>
        <w:t>85</w:t>
      </w:r>
      <w:r>
        <w:rPr>
          <w:rFonts w:eastAsia="標楷體"/>
          <w:color w:val="000000"/>
          <w:szCs w:val="24"/>
        </w:rPr>
        <w:t>條之</w:t>
      </w:r>
      <w:r>
        <w:rPr>
          <w:rFonts w:eastAsia="標楷體"/>
          <w:color w:val="000000"/>
          <w:szCs w:val="24"/>
        </w:rPr>
        <w:t>1</w:t>
      </w:r>
      <w:r>
        <w:rPr>
          <w:rFonts w:eastAsia="標楷體"/>
          <w:color w:val="000000"/>
          <w:szCs w:val="24"/>
        </w:rPr>
        <w:t>第</w:t>
      </w:r>
      <w:r>
        <w:rPr>
          <w:rFonts w:eastAsia="標楷體"/>
          <w:color w:val="000000"/>
          <w:szCs w:val="24"/>
        </w:rPr>
        <w:t>1</w:t>
      </w:r>
      <w:r>
        <w:rPr>
          <w:rFonts w:eastAsia="標楷體"/>
          <w:color w:val="000000"/>
          <w:szCs w:val="24"/>
        </w:rPr>
        <w:t>項第</w:t>
      </w:r>
      <w:r>
        <w:rPr>
          <w:rFonts w:eastAsia="標楷體"/>
          <w:color w:val="000000"/>
          <w:szCs w:val="24"/>
        </w:rPr>
        <w:t>1</w:t>
      </w:r>
      <w:r>
        <w:rPr>
          <w:rFonts w:eastAsia="標楷體"/>
          <w:color w:val="000000"/>
          <w:szCs w:val="24"/>
        </w:rPr>
        <w:t>款規定向桃園市政府採購申訴審議委員會申請之案件。</w:t>
      </w:r>
    </w:p>
    <w:p w14:paraId="0AF654D8" w14:textId="77777777" w:rsidR="00015A67" w:rsidRDefault="00F6527F">
      <w:pPr>
        <w:snapToGrid w:val="0"/>
        <w:spacing w:line="340" w:lineRule="exact"/>
        <w:ind w:left="294"/>
        <w:jc w:val="both"/>
      </w:pPr>
      <w:r>
        <w:rPr>
          <w:rFonts w:eastAsia="標楷體"/>
          <w:color w:val="000000"/>
          <w:spacing w:val="-4"/>
          <w:szCs w:val="24"/>
        </w:rPr>
        <w:t>＊</w:t>
      </w:r>
      <w:r>
        <w:rPr>
          <w:rFonts w:eastAsia="標楷體"/>
          <w:color w:val="000000"/>
          <w:szCs w:val="24"/>
        </w:rPr>
        <w:t>統計單位：件。</w:t>
      </w:r>
    </w:p>
    <w:p w14:paraId="2721A2C2" w14:textId="77777777" w:rsidR="00015A67" w:rsidRDefault="00F6527F">
      <w:pPr>
        <w:snapToGrid w:val="0"/>
        <w:spacing w:line="340" w:lineRule="exact"/>
        <w:ind w:left="1701" w:hanging="1406"/>
        <w:jc w:val="both"/>
        <w:rPr>
          <w:rFonts w:eastAsia="標楷體"/>
          <w:color w:val="000000"/>
          <w:szCs w:val="24"/>
        </w:rPr>
      </w:pPr>
      <w:r>
        <w:rPr>
          <w:rFonts w:eastAsia="標楷體"/>
          <w:color w:val="000000"/>
          <w:szCs w:val="24"/>
        </w:rPr>
        <w:t>＊統計分類：橫列項目按爭議途徑類型分；縱行項目按前期未結案、本期新受理、本期已結案及本期未結案分類。</w:t>
      </w:r>
    </w:p>
    <w:p w14:paraId="506DC078" w14:textId="77777777" w:rsidR="00015A67" w:rsidRDefault="00F6527F">
      <w:pPr>
        <w:snapToGrid w:val="0"/>
        <w:spacing w:line="340" w:lineRule="exact"/>
        <w:ind w:firstLine="280"/>
        <w:jc w:val="both"/>
        <w:rPr>
          <w:rFonts w:eastAsia="標楷體"/>
          <w:color w:val="000000"/>
          <w:szCs w:val="24"/>
        </w:rPr>
      </w:pPr>
      <w:r>
        <w:rPr>
          <w:rFonts w:eastAsia="標楷體"/>
          <w:color w:val="000000"/>
          <w:szCs w:val="24"/>
        </w:rPr>
        <w:t>＊發布週期：半年。</w:t>
      </w:r>
    </w:p>
    <w:p w14:paraId="1D7DAD30" w14:textId="77777777" w:rsidR="00015A67" w:rsidRDefault="00F6527F">
      <w:pPr>
        <w:snapToGrid w:val="0"/>
        <w:spacing w:line="340" w:lineRule="exact"/>
        <w:ind w:left="556" w:hanging="278"/>
        <w:jc w:val="both"/>
      </w:pPr>
      <w:r>
        <w:rPr>
          <w:rFonts w:eastAsia="標楷體"/>
          <w:szCs w:val="24"/>
        </w:rPr>
        <w:t>＊時效：</w:t>
      </w:r>
      <w:r>
        <w:rPr>
          <w:rFonts w:eastAsia="標楷體"/>
        </w:rPr>
        <w:t>25</w:t>
      </w:r>
      <w:r>
        <w:rPr>
          <w:rFonts w:eastAsia="標楷體"/>
        </w:rPr>
        <w:t>日。</w:t>
      </w:r>
    </w:p>
    <w:p w14:paraId="7969CBFF" w14:textId="77777777" w:rsidR="00015A67" w:rsidRDefault="00F6527F">
      <w:pPr>
        <w:snapToGrid w:val="0"/>
        <w:spacing w:after="120" w:line="340" w:lineRule="exact"/>
        <w:ind w:left="556" w:hanging="278"/>
        <w:jc w:val="both"/>
        <w:rPr>
          <w:rFonts w:eastAsia="標楷體"/>
          <w:szCs w:val="24"/>
        </w:rPr>
      </w:pPr>
      <w:r>
        <w:rPr>
          <w:rFonts w:eastAsia="標楷體"/>
          <w:szCs w:val="24"/>
        </w:rPr>
        <w:t>＊資料變革：無。</w:t>
      </w:r>
    </w:p>
    <w:p w14:paraId="6AC3F35D" w14:textId="77777777" w:rsidR="00015A67" w:rsidRDefault="00F6527F">
      <w:pPr>
        <w:snapToGrid w:val="0"/>
        <w:spacing w:line="340" w:lineRule="exact"/>
        <w:jc w:val="both"/>
        <w:rPr>
          <w:rFonts w:eastAsia="標楷體"/>
          <w:color w:val="000000"/>
          <w:szCs w:val="24"/>
        </w:rPr>
      </w:pPr>
      <w:r>
        <w:rPr>
          <w:rFonts w:eastAsia="標楷體"/>
          <w:color w:val="000000"/>
          <w:szCs w:val="24"/>
        </w:rPr>
        <w:t>四、公開資料發布訊息</w:t>
      </w:r>
    </w:p>
    <w:p w14:paraId="7A5C2F31" w14:textId="77777777" w:rsidR="00015A67" w:rsidRDefault="00F6527F">
      <w:pPr>
        <w:snapToGrid w:val="0"/>
        <w:spacing w:line="340" w:lineRule="exact"/>
        <w:ind w:left="2128" w:hanging="1842"/>
        <w:jc w:val="both"/>
      </w:pPr>
      <w:r>
        <w:rPr>
          <w:rFonts w:eastAsia="標楷體"/>
          <w:spacing w:val="-4"/>
          <w:szCs w:val="24"/>
        </w:rPr>
        <w:t>＊預告發布日期：</w:t>
      </w:r>
      <w:r>
        <w:rPr>
          <w:rFonts w:ascii="標楷體" w:eastAsia="標楷體" w:hAnsi="標楷體"/>
        </w:rPr>
        <w:t>每半年終了</w:t>
      </w:r>
      <w:r>
        <w:rPr>
          <w:rFonts w:eastAsia="標楷體"/>
          <w:szCs w:val="24"/>
        </w:rPr>
        <w:t>25</w:t>
      </w:r>
      <w:r>
        <w:rPr>
          <w:rFonts w:eastAsia="標楷體"/>
          <w:szCs w:val="24"/>
        </w:rPr>
        <w:t>日</w:t>
      </w:r>
      <w:r>
        <w:rPr>
          <w:rFonts w:eastAsia="標楷體"/>
          <w:szCs w:val="24"/>
        </w:rPr>
        <w:t>(</w:t>
      </w:r>
      <w:r>
        <w:rPr>
          <w:rFonts w:eastAsia="標楷體"/>
          <w:szCs w:val="24"/>
        </w:rPr>
        <w:t>若遇例假日順延</w:t>
      </w:r>
      <w:r>
        <w:rPr>
          <w:rFonts w:eastAsia="標楷體"/>
          <w:szCs w:val="24"/>
        </w:rPr>
        <w:t>)</w:t>
      </w:r>
      <w:r>
        <w:rPr>
          <w:rFonts w:ascii="標楷體" w:eastAsia="標楷體" w:hAnsi="標楷體"/>
          <w:szCs w:val="24"/>
        </w:rPr>
        <w:t>以報表及網際網路發布</w:t>
      </w:r>
      <w:r>
        <w:rPr>
          <w:rFonts w:eastAsia="標楷體"/>
        </w:rPr>
        <w:t>。</w:t>
      </w:r>
    </w:p>
    <w:p w14:paraId="3D8B6708" w14:textId="77777777" w:rsidR="00015A67" w:rsidRDefault="00F6527F">
      <w:pPr>
        <w:snapToGrid w:val="0"/>
        <w:spacing w:after="120" w:line="340" w:lineRule="exact"/>
        <w:ind w:left="295"/>
        <w:jc w:val="both"/>
      </w:pPr>
      <w:r>
        <w:rPr>
          <w:rFonts w:eastAsia="標楷體"/>
          <w:color w:val="000000"/>
          <w:spacing w:val="-4"/>
          <w:szCs w:val="24"/>
        </w:rPr>
        <w:lastRenderedPageBreak/>
        <w:t>＊</w:t>
      </w:r>
      <w:r>
        <w:rPr>
          <w:rFonts w:eastAsia="標楷體"/>
          <w:color w:val="000000"/>
          <w:szCs w:val="24"/>
        </w:rPr>
        <w:t>同步發送單位：桃園市政府主計處。</w:t>
      </w:r>
    </w:p>
    <w:p w14:paraId="27FC7E0B" w14:textId="77777777" w:rsidR="00015A67" w:rsidRDefault="00F6527F">
      <w:pPr>
        <w:snapToGrid w:val="0"/>
        <w:spacing w:line="320" w:lineRule="exact"/>
        <w:jc w:val="both"/>
        <w:rPr>
          <w:rFonts w:eastAsia="標楷體"/>
          <w:color w:val="000000"/>
          <w:szCs w:val="24"/>
        </w:rPr>
      </w:pPr>
      <w:r>
        <w:rPr>
          <w:rFonts w:eastAsia="標楷體"/>
          <w:color w:val="000000"/>
          <w:szCs w:val="24"/>
        </w:rPr>
        <w:t>五、資料品質</w:t>
      </w:r>
    </w:p>
    <w:p w14:paraId="1C7C2133" w14:textId="77777777" w:rsidR="00015A67" w:rsidRDefault="00F6527F">
      <w:pPr>
        <w:snapToGrid w:val="0"/>
        <w:spacing w:line="320" w:lineRule="exact"/>
        <w:ind w:left="4395" w:hanging="4100"/>
        <w:jc w:val="both"/>
      </w:pPr>
      <w:r>
        <w:rPr>
          <w:rFonts w:eastAsia="標楷體"/>
          <w:color w:val="000000"/>
          <w:spacing w:val="-4"/>
          <w:szCs w:val="24"/>
        </w:rPr>
        <w:t>＊</w:t>
      </w:r>
      <w:r>
        <w:rPr>
          <w:rFonts w:eastAsia="標楷體"/>
          <w:color w:val="000000"/>
          <w:szCs w:val="24"/>
        </w:rPr>
        <w:t>統計指標編製方法與資料來源說明：桃園市政府法務局採購申訴審議科依桃園市政府採購申訴審議委員會受理案件資料編製。</w:t>
      </w:r>
    </w:p>
    <w:p w14:paraId="611253A7" w14:textId="77777777" w:rsidR="00015A67" w:rsidRDefault="00F6527F">
      <w:pPr>
        <w:snapToGrid w:val="0"/>
        <w:spacing w:line="320" w:lineRule="exact"/>
        <w:ind w:left="5245" w:hanging="4950"/>
        <w:jc w:val="both"/>
        <w:rPr>
          <w:rFonts w:eastAsia="標楷體"/>
          <w:color w:val="000000"/>
          <w:spacing w:val="-4"/>
          <w:szCs w:val="24"/>
        </w:rPr>
      </w:pPr>
      <w:r>
        <w:rPr>
          <w:rFonts w:eastAsia="標楷體"/>
          <w:color w:val="000000"/>
          <w:spacing w:val="-4"/>
          <w:szCs w:val="24"/>
        </w:rPr>
        <w:t>＊統計資料交叉查核及確保資料合理性之機制：</w:t>
      </w:r>
    </w:p>
    <w:p w14:paraId="17201B5E" w14:textId="77777777" w:rsidR="00015A67" w:rsidRDefault="00F6527F">
      <w:pPr>
        <w:numPr>
          <w:ilvl w:val="0"/>
          <w:numId w:val="2"/>
        </w:numPr>
        <w:snapToGrid w:val="0"/>
        <w:spacing w:line="320" w:lineRule="exact"/>
        <w:ind w:left="1134"/>
        <w:jc w:val="both"/>
      </w:pPr>
      <w:r>
        <w:rPr>
          <w:rFonts w:eastAsia="標楷體"/>
          <w:color w:val="000000"/>
          <w:szCs w:val="24"/>
        </w:rPr>
        <w:t>合計項目等於各細項之加總</w:t>
      </w:r>
      <w:r>
        <w:rPr>
          <w:rFonts w:ascii="標楷體" w:eastAsia="標楷體" w:hAnsi="標楷體"/>
          <w:color w:val="000000"/>
          <w:szCs w:val="24"/>
        </w:rPr>
        <w:t>。</w:t>
      </w:r>
    </w:p>
    <w:p w14:paraId="45C695A1" w14:textId="77777777" w:rsidR="00015A67" w:rsidRDefault="00F6527F">
      <w:pPr>
        <w:numPr>
          <w:ilvl w:val="0"/>
          <w:numId w:val="2"/>
        </w:numPr>
        <w:snapToGrid w:val="0"/>
        <w:spacing w:after="120" w:line="320" w:lineRule="exact"/>
        <w:ind w:left="1134" w:hanging="482"/>
        <w:jc w:val="both"/>
      </w:pPr>
      <w:r>
        <w:rPr>
          <w:rFonts w:eastAsia="標楷體"/>
          <w:color w:val="000000"/>
          <w:szCs w:val="24"/>
        </w:rPr>
        <w:t>本期未結案件等於前期未結案加上</w:t>
      </w:r>
      <w:r>
        <w:rPr>
          <w:rFonts w:ascii="標楷體" w:eastAsia="標楷體" w:hAnsi="標楷體"/>
          <w:color w:val="000000"/>
          <w:szCs w:val="24"/>
        </w:rPr>
        <w:t>本期新受理減去本期已結案項目。</w:t>
      </w:r>
    </w:p>
    <w:p w14:paraId="6E6708F8" w14:textId="77777777" w:rsidR="00015A67" w:rsidRDefault="00F6527F">
      <w:pPr>
        <w:snapToGrid w:val="0"/>
        <w:spacing w:after="120"/>
        <w:jc w:val="both"/>
        <w:rPr>
          <w:rFonts w:eastAsia="標楷體"/>
          <w:color w:val="000000"/>
          <w:szCs w:val="24"/>
        </w:rPr>
      </w:pPr>
      <w:r>
        <w:rPr>
          <w:rFonts w:eastAsia="標楷體"/>
          <w:color w:val="000000"/>
          <w:szCs w:val="24"/>
        </w:rPr>
        <w:t>六、須注意及預定改變之事項：無。</w:t>
      </w:r>
    </w:p>
    <w:p w14:paraId="01CFF6E0" w14:textId="77777777" w:rsidR="00015A67" w:rsidRDefault="00F6527F">
      <w:pPr>
        <w:snapToGrid w:val="0"/>
        <w:jc w:val="both"/>
      </w:pPr>
      <w:r>
        <w:rPr>
          <w:rFonts w:eastAsia="標楷體"/>
          <w:color w:val="000000"/>
          <w:szCs w:val="24"/>
        </w:rPr>
        <w:t>七、其他事項：無。</w:t>
      </w:r>
    </w:p>
    <w:sectPr w:rsidR="00015A67">
      <w:pgSz w:w="11906" w:h="16838"/>
      <w:pgMar w:top="851" w:right="851" w:bottom="851" w:left="1134" w:header="720" w:footer="992" w:gutter="0"/>
      <w:pgNumType w:start="25"/>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64A3F" w14:textId="77777777" w:rsidR="00403484" w:rsidRDefault="00403484">
      <w:r>
        <w:separator/>
      </w:r>
    </w:p>
  </w:endnote>
  <w:endnote w:type="continuationSeparator" w:id="0">
    <w:p w14:paraId="5BA764A6" w14:textId="77777777" w:rsidR="00403484" w:rsidRDefault="0040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00"/>
    <w:family w:val="modern"/>
    <w:pitch w:val="fixed"/>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877F" w14:textId="77777777" w:rsidR="00403484" w:rsidRDefault="00403484">
      <w:r>
        <w:rPr>
          <w:color w:val="000000"/>
        </w:rPr>
        <w:separator/>
      </w:r>
    </w:p>
  </w:footnote>
  <w:footnote w:type="continuationSeparator" w:id="0">
    <w:p w14:paraId="6D7FB7E4" w14:textId="77777777" w:rsidR="00403484" w:rsidRDefault="0040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F0448"/>
    <w:multiLevelType w:val="multilevel"/>
    <w:tmpl w:val="F0C8EDCC"/>
    <w:lvl w:ilvl="0">
      <w:start w:val="1"/>
      <w:numFmt w:val="taiwaneseCountingThousand"/>
      <w:suff w:val="nothing"/>
      <w:lvlText w:val="(%1)"/>
      <w:lvlJc w:val="left"/>
      <w:pPr>
        <w:ind w:left="1682"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9BF026D"/>
    <w:multiLevelType w:val="multilevel"/>
    <w:tmpl w:val="7472B640"/>
    <w:lvl w:ilvl="0">
      <w:start w:val="1"/>
      <w:numFmt w:val="taiwaneseCountingThousand"/>
      <w:suff w:val="nothing"/>
      <w:lvlText w:val="(%1)"/>
      <w:lvlJc w:val="left"/>
      <w:pPr>
        <w:ind w:left="2182"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883638980">
    <w:abstractNumId w:val="0"/>
  </w:num>
  <w:num w:numId="2" w16cid:durableId="37593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67"/>
    <w:rsid w:val="00015A67"/>
    <w:rsid w:val="001C76F6"/>
    <w:rsid w:val="003D4040"/>
    <w:rsid w:val="00403484"/>
    <w:rsid w:val="008A55A4"/>
    <w:rsid w:val="00F652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B0D0"/>
  <w15:docId w15:val="{7BCD2BBB-E12B-4CEC-BA7A-124758A3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ind w:left="607" w:hanging="204"/>
      <w:jc w:val="both"/>
    </w:pPr>
    <w:rPr>
      <w:rFonts w:eastAsia="細明體"/>
      <w:sz w:val="20"/>
    </w:rPr>
  </w:style>
  <w:style w:type="paragraph" w:customStyle="1" w:styleId="a4">
    <w:name w:val="一"/>
    <w:basedOn w:val="a"/>
    <w:pPr>
      <w:spacing w:before="60" w:after="60"/>
      <w:ind w:left="403" w:hanging="403"/>
    </w:pPr>
    <w:rPr>
      <w:rFonts w:eastAsia="華康中黑體"/>
      <w:b/>
      <w:sz w:val="20"/>
    </w:rPr>
  </w:style>
  <w:style w:type="paragraph" w:customStyle="1" w:styleId="1">
    <w:name w:val="1."/>
    <w:basedOn w:val="a3"/>
    <w:pPr>
      <w:ind w:left="805"/>
    </w:pPr>
  </w:style>
  <w:style w:type="paragraph" w:styleId="a5">
    <w:name w:val="Block Text"/>
    <w:basedOn w:val="a"/>
    <w:pPr>
      <w:spacing w:line="580" w:lineRule="exact"/>
      <w:ind w:left="532" w:right="-328" w:firstLine="434"/>
    </w:pPr>
    <w:rPr>
      <w:rFonts w:ascii="標楷體" w:eastAsia="標楷體" w:hAnsi="標楷體"/>
      <w:sz w:val="28"/>
    </w:rPr>
  </w:style>
  <w:style w:type="paragraph" w:customStyle="1" w:styleId="a6">
    <w:name w:val="文一"/>
    <w:basedOn w:val="a"/>
    <w:pPr>
      <w:ind w:left="403" w:firstLine="403"/>
      <w:jc w:val="both"/>
    </w:pPr>
    <w:rPr>
      <w:rFonts w:eastAsia="細明體"/>
      <w:sz w:val="20"/>
    </w:rPr>
  </w:style>
  <w:style w:type="paragraph" w:styleId="a7">
    <w:name w:val="Body Text Indent"/>
    <w:basedOn w:val="a"/>
    <w:pPr>
      <w:spacing w:line="580" w:lineRule="exact"/>
      <w:ind w:left="504" w:firstLine="742"/>
    </w:pPr>
    <w:rPr>
      <w:rFonts w:eastAsia="標楷體"/>
      <w:sz w:val="28"/>
    </w:rPr>
  </w:style>
  <w:style w:type="paragraph" w:styleId="2">
    <w:name w:val="Body Text Indent 2"/>
    <w:basedOn w:val="a"/>
    <w:pPr>
      <w:spacing w:line="580" w:lineRule="exact"/>
      <w:ind w:left="602" w:firstLine="504"/>
    </w:pPr>
    <w:rPr>
      <w:rFonts w:eastAsia="標楷體"/>
      <w:sz w:val="28"/>
    </w:rPr>
  </w:style>
  <w:style w:type="paragraph" w:styleId="3">
    <w:name w:val="Body Text Indent 3"/>
    <w:basedOn w:val="a"/>
    <w:pPr>
      <w:spacing w:line="580" w:lineRule="exact"/>
      <w:ind w:left="1190" w:hanging="560"/>
    </w:pPr>
    <w:rPr>
      <w:rFonts w:eastAsia="標楷體"/>
      <w:b/>
      <w:sz w:val="28"/>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rPr>
      <w:rFonts w:ascii="Arial" w:hAnsi="Arial"/>
      <w:sz w:val="18"/>
      <w:szCs w:val="18"/>
    </w:rPr>
  </w:style>
  <w:style w:type="paragraph" w:styleId="ab">
    <w:name w:val="footer"/>
    <w:basedOn w:val="a"/>
    <w:pPr>
      <w:tabs>
        <w:tab w:val="center" w:pos="4153"/>
        <w:tab w:val="right" w:pos="8306"/>
      </w:tabs>
      <w:snapToGrid w:val="0"/>
    </w:pPr>
    <w:rPr>
      <w:sz w:val="20"/>
    </w:rPr>
  </w:style>
  <w:style w:type="character" w:styleId="ac">
    <w:name w:val="page number"/>
    <w:basedOn w:val="a0"/>
  </w:style>
  <w:style w:type="paragraph" w:styleId="ad">
    <w:name w:val="header"/>
    <w:basedOn w:val="a"/>
    <w:pPr>
      <w:tabs>
        <w:tab w:val="center" w:pos="4153"/>
        <w:tab w:val="right" w:pos="8306"/>
      </w:tabs>
      <w:snapToGrid w:val="0"/>
    </w:pPr>
    <w:rPr>
      <w:sz w:val="20"/>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行政院主計處</dc:creator>
  <cp:lastModifiedBy>張斌全</cp:lastModifiedBy>
  <cp:revision>3</cp:revision>
  <cp:lastPrinted>2022-10-05T05:59:00Z</cp:lastPrinted>
  <dcterms:created xsi:type="dcterms:W3CDTF">2023-11-07T03:56:00Z</dcterms:created>
  <dcterms:modified xsi:type="dcterms:W3CDTF">2024-11-11T08:27:00Z</dcterms:modified>
</cp:coreProperties>
</file>